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4649" w14:textId="77777777" w:rsidR="002C1B58" w:rsidRDefault="002C1B58">
      <w:pPr>
        <w:pStyle w:val="SFPd"/>
        <w:rPr>
          <w:color w:val="000000"/>
        </w:rPr>
      </w:pPr>
    </w:p>
    <w:p w14:paraId="0D1A4C71" w14:textId="77777777" w:rsidR="002C1B58" w:rsidRPr="00B06F4F" w:rsidRDefault="002C1B58">
      <w:pPr>
        <w:pStyle w:val="SFPd"/>
        <w:rPr>
          <w:color w:val="000000"/>
          <w:lang w:val="pt-BR"/>
        </w:rPr>
      </w:pPr>
      <w:r>
        <w:rPr>
          <w:b/>
          <w:bCs/>
          <w:color w:val="000000"/>
          <w:u w:val="single"/>
          <w:lang w:val="pt-BR"/>
        </w:rPr>
        <w:t>VOTO:</w:t>
      </w:r>
    </w:p>
    <w:p w14:paraId="44F3506F" w14:textId="77777777" w:rsidR="002C1B58" w:rsidRPr="00B06F4F" w:rsidRDefault="002C1B58">
      <w:pPr>
        <w:pStyle w:val="SFPd"/>
        <w:rPr>
          <w:color w:val="000000"/>
          <w:lang w:val="pt-BR"/>
        </w:rPr>
      </w:pPr>
      <w:r w:rsidRPr="00B06F4F">
        <w:rPr>
          <w:color w:val="000000"/>
          <w:lang w:val="pt-BR"/>
        </w:rPr>
        <w:t xml:space="preserve">        </w:t>
      </w:r>
    </w:p>
    <w:p w14:paraId="456193CE" w14:textId="77777777" w:rsidR="002C1B58" w:rsidRPr="00B06F4F" w:rsidRDefault="002C1B58">
      <w:pPr>
        <w:pStyle w:val="SFPd"/>
        <w:rPr>
          <w:color w:val="000000"/>
          <w:lang w:val="pt-BR"/>
        </w:rPr>
      </w:pPr>
      <w:r>
        <w:rPr>
          <w:b/>
          <w:bCs/>
          <w:smallCaps/>
          <w:color w:val="000000"/>
          <w:lang w:val="pt-BR"/>
        </w:rPr>
        <w:t>Ministro Luís Roberto Barroso (Presidente y Relator):</w:t>
      </w:r>
    </w:p>
    <w:p w14:paraId="4B702BBD" w14:textId="77777777" w:rsidR="002C1B58" w:rsidRPr="00B06F4F" w:rsidRDefault="002C1B58">
      <w:pPr>
        <w:pStyle w:val="SFPd"/>
        <w:rPr>
          <w:color w:val="000000"/>
          <w:lang w:val="pt-BR"/>
        </w:rPr>
      </w:pPr>
      <w:r w:rsidRPr="00B06F4F">
        <w:rPr>
          <w:color w:val="000000"/>
          <w:lang w:val="pt-BR"/>
        </w:rPr>
        <w:t xml:space="preserve">        </w:t>
      </w:r>
    </w:p>
    <w:p w14:paraId="294ACCB3" w14:textId="77777777" w:rsidR="002C1B58" w:rsidRPr="00B06F4F" w:rsidRDefault="002C1B58">
      <w:pPr>
        <w:pStyle w:val="SFPd"/>
        <w:rPr>
          <w:color w:val="000000"/>
          <w:lang w:val="pt-BR"/>
        </w:rPr>
      </w:pPr>
      <w:r>
        <w:rPr>
          <w:smallCaps/>
          <w:color w:val="000000"/>
          <w:lang w:val="pt-BR"/>
        </w:rPr>
        <w:t xml:space="preserve">I. Preliminares </w:t>
      </w:r>
    </w:p>
    <w:p w14:paraId="359BBD1B" w14:textId="77777777" w:rsidR="002C1B58" w:rsidRPr="00B06F4F" w:rsidRDefault="002C1B58">
      <w:pPr>
        <w:pStyle w:val="SFPd"/>
        <w:rPr>
          <w:color w:val="000000"/>
          <w:lang w:val="pt-BR"/>
        </w:rPr>
      </w:pPr>
      <w:r w:rsidRPr="00B06F4F">
        <w:rPr>
          <w:smallCaps/>
          <w:color w:val="000000"/>
          <w:lang w:val="pt-BR"/>
        </w:rPr>
        <w:t xml:space="preserve">        </w:t>
      </w:r>
    </w:p>
    <w:p w14:paraId="32B272A0" w14:textId="77777777" w:rsidR="002C1B58" w:rsidRPr="00B06F4F" w:rsidRDefault="002C1B58">
      <w:pPr>
        <w:pStyle w:val="SFPd"/>
        <w:rPr>
          <w:color w:val="000000"/>
          <w:lang w:val="pt-BR"/>
        </w:rPr>
      </w:pPr>
      <w:r>
        <w:rPr>
          <w:color w:val="000000"/>
          <w:lang w:val="pt-BR"/>
        </w:rPr>
        <w:t>1. En la ADI 4.245, la Abogacía General de la Unión sostuvo, con carácter preliminar, la inadmisibilidad de la acción con respecto a los artículos 3 y 15 del Convenio de La Haya sobre los aspectos civiles de la sustracción internacional de niños, debido a que no se impugnó la totalidad del complejo normativo, ya que el artículo 14 —que, según afirmó, guardaría una relación de dependencia con las disposiciones impugnadas— no fue incluido entre las pretensiones.</w:t>
      </w:r>
    </w:p>
    <w:p w14:paraId="02E43859" w14:textId="77777777" w:rsidR="002C1B58" w:rsidRPr="00B06F4F" w:rsidRDefault="002C1B58">
      <w:pPr>
        <w:pStyle w:val="SFPd"/>
        <w:rPr>
          <w:color w:val="000000"/>
          <w:lang w:val="pt-BR"/>
        </w:rPr>
      </w:pPr>
      <w:r w:rsidRPr="00B06F4F">
        <w:rPr>
          <w:color w:val="000000"/>
          <w:lang w:val="pt-BR"/>
        </w:rPr>
        <w:t xml:space="preserve">        </w:t>
      </w:r>
    </w:p>
    <w:p w14:paraId="0852681B" w14:textId="77777777" w:rsidR="002C1B58" w:rsidRPr="00B06F4F" w:rsidRDefault="002C1B58">
      <w:pPr>
        <w:pStyle w:val="SFPd"/>
        <w:rPr>
          <w:color w:val="000000"/>
          <w:lang w:val="pt-BR"/>
        </w:rPr>
      </w:pPr>
      <w:r>
        <w:rPr>
          <w:color w:val="000000"/>
          <w:lang w:val="pt-BR"/>
        </w:rPr>
        <w:t xml:space="preserve">2. Entiendo, sin embargo, que la no impugnación del artículo 14 de la Convención no impide el conocimiento de la acción en relación con las demás disposiciones, al no verificar la supuesta relación de interdependencia entre ellas. Los artículos 3 y 15 de la Convención tipifican como ilícito el traslado o retención de un niño realizado en violación del derecho de custodia, que pueda resultar de una decisión judicial o administrativa adoptada en el extranjero. Por tanto, la negativa del autor en relación con estas disposiciones se refiere a la posibilidad de utilizar decisiones extranjeras no aprobadas por el Superior Tribunal de Justicia, con efectos en el territorio nacional, lo que, a su juicio, violaría el art. 105, I, “i”, de la Constitución. </w:t>
      </w:r>
    </w:p>
    <w:p w14:paraId="5C708902" w14:textId="77777777" w:rsidR="002C1B58" w:rsidRPr="00B06F4F" w:rsidRDefault="002C1B58">
      <w:pPr>
        <w:pStyle w:val="SFPd"/>
        <w:rPr>
          <w:color w:val="000000"/>
          <w:lang w:val="pt-BR"/>
        </w:rPr>
      </w:pPr>
      <w:r w:rsidRPr="00B06F4F">
        <w:rPr>
          <w:color w:val="000000"/>
          <w:lang w:val="pt-BR"/>
        </w:rPr>
        <w:t xml:space="preserve">        </w:t>
      </w:r>
    </w:p>
    <w:p w14:paraId="64450135" w14:textId="77777777" w:rsidR="002C1B58" w:rsidRPr="00B06F4F" w:rsidRDefault="002C1B58">
      <w:pPr>
        <w:pStyle w:val="SFPd"/>
        <w:rPr>
          <w:color w:val="000000"/>
          <w:lang w:val="pt-BR"/>
        </w:rPr>
      </w:pPr>
      <w:r>
        <w:rPr>
          <w:color w:val="000000"/>
          <w:lang w:val="pt-BR"/>
        </w:rPr>
        <w:t xml:space="preserve">3. El artículo 14, por su parte, establece que “las autoridades judiciales o administrativas del Estado demandado podrán tener conocimiento directo de la ley y de las decisiones judiciales o administrativas, reconocidas formalmente o no, en el Estado de residencia habitual del niño sin tener que recurrir a procedimientos específicos para la prueba de dicha legislación o para el reconocimiento de decisiones extranjeras que de otro modo serían aplicables”. Por tanto, esta norma, que incluso se ajusta a lo dispuesto en el artículo 7 de LINDB [1], convive con lo dispuesto en los artículos 3 y 15, sin que exista un vínculo de dependencia entre ellos. Por tanto, rechazo el preliminar. </w:t>
      </w:r>
    </w:p>
    <w:p w14:paraId="464C49F6" w14:textId="77777777" w:rsidR="002C1B58" w:rsidRPr="00B06F4F" w:rsidRDefault="002C1B58">
      <w:pPr>
        <w:pStyle w:val="SFPd"/>
        <w:rPr>
          <w:color w:val="000000"/>
          <w:lang w:val="pt-BR"/>
        </w:rPr>
      </w:pPr>
      <w:r w:rsidRPr="00B06F4F">
        <w:rPr>
          <w:color w:val="000000"/>
          <w:shd w:val="clear" w:color="auto" w:fill="FFFFFF"/>
          <w:lang w:val="pt-BR"/>
        </w:rPr>
        <w:t xml:space="preserve">        </w:t>
      </w:r>
    </w:p>
    <w:p w14:paraId="77BE37EF" w14:textId="77777777" w:rsidR="002C1B58" w:rsidRPr="00B06F4F" w:rsidRDefault="002C1B58">
      <w:pPr>
        <w:pStyle w:val="SFPd"/>
        <w:rPr>
          <w:color w:val="000000"/>
          <w:lang w:val="pt-BR"/>
        </w:rPr>
      </w:pPr>
      <w:r>
        <w:rPr>
          <w:color w:val="000000"/>
          <w:lang w:val="pt-BR"/>
        </w:rPr>
        <w:t xml:space="preserve">4. Por su parte, en la ADI 7.686, la Abogacía General de la Unión sostuvo la necesidad de intimar al demandante para que ampliara la demanda inicial, adecuando el contenido normativo cuestionado a fin de incluir el artículo 11, inciso “b”, de la Convención Interamericana sobre Restitución Internacional de Menores (Montevideo, 1989), promulgada por el Decreto nº 1.212, de 3 de agosto de 1994, que contiene una regulación equivalente a la del art. 13 (1) </w:t>
      </w:r>
      <w:r>
        <w:rPr>
          <w:color w:val="000000"/>
          <w:lang w:val="pt-BR"/>
        </w:rPr>
        <w:lastRenderedPageBreak/>
        <w:t>(b) del Convenio de La Haya.</w:t>
      </w:r>
    </w:p>
    <w:p w14:paraId="5774B64C" w14:textId="77777777" w:rsidR="002C1B58" w:rsidRPr="00B06F4F" w:rsidRDefault="002C1B58">
      <w:pPr>
        <w:pStyle w:val="SFPd"/>
        <w:rPr>
          <w:color w:val="000000"/>
          <w:lang w:val="pt-BR"/>
        </w:rPr>
      </w:pPr>
      <w:r w:rsidRPr="00B06F4F">
        <w:rPr>
          <w:color w:val="000000"/>
          <w:shd w:val="clear" w:color="auto" w:fill="FFFFFF"/>
          <w:lang w:val="pt-BR"/>
        </w:rPr>
        <w:t xml:space="preserve">        </w:t>
      </w:r>
    </w:p>
    <w:p w14:paraId="33825FCC" w14:textId="77777777" w:rsidR="002C1B58" w:rsidRPr="00B06F4F" w:rsidRDefault="002C1B58">
      <w:pPr>
        <w:pStyle w:val="SFPd"/>
        <w:rPr>
          <w:color w:val="000000"/>
          <w:lang w:val="pt-BR"/>
        </w:rPr>
      </w:pPr>
      <w:r>
        <w:rPr>
          <w:color w:val="000000"/>
          <w:lang w:val="pt-BR"/>
        </w:rPr>
        <w:t xml:space="preserve">5. Tampoco vale la pena aceptar el preliminar. La norma impugnada en la acción directa es el art. 13 (1) (b) de la Convención de La Haya de 1980, cuya aplicación ha sido invocada repetidamente en casos específicos sometidos al Poder Judicial brasileño. El objeto de la demanda, por tanto, está definido de forma clara y precisa, sin que exista ningún defecto formal que justifique la exigencia de una adición. Si bien la Convención Interamericana de Montevideo contiene disposiciones de contenido similar a la Convención de La Haya, son tratados autónomos, con alcance normativo, sistema de aplicación y ámbito de incidencia propios. Por lo tanto, es legítima la opción del demandante de impugnar únicamente la disposición del Convenio de La Haya, que, cabe señalar, es el tratado más frecuentemente aplicado en casos de sustracción internacional de menores que involucran a Brasil. Por tanto, también rechazo este preliminar. </w:t>
      </w:r>
    </w:p>
    <w:p w14:paraId="2BA1D4F3" w14:textId="77777777" w:rsidR="002C1B58" w:rsidRPr="00B06F4F" w:rsidRDefault="002C1B58">
      <w:pPr>
        <w:pStyle w:val="SFPd"/>
        <w:rPr>
          <w:color w:val="000000"/>
          <w:lang w:val="pt-BR"/>
        </w:rPr>
      </w:pPr>
      <w:r w:rsidRPr="00B06F4F">
        <w:rPr>
          <w:color w:val="000000"/>
          <w:shd w:val="clear" w:color="auto" w:fill="FFFFFF"/>
          <w:lang w:val="pt-BR"/>
        </w:rPr>
        <w:t xml:space="preserve">        </w:t>
      </w:r>
    </w:p>
    <w:p w14:paraId="7A733ED2" w14:textId="77777777" w:rsidR="002C1B58" w:rsidRPr="00B06F4F" w:rsidRDefault="002C1B58">
      <w:pPr>
        <w:pStyle w:val="SFPd"/>
        <w:rPr>
          <w:color w:val="000000"/>
          <w:lang w:val="pt-BR"/>
        </w:rPr>
      </w:pPr>
      <w:r>
        <w:rPr>
          <w:color w:val="000000"/>
          <w:lang w:val="pt-BR"/>
        </w:rPr>
        <w:t>6. Por lo demás, dejo constancia de que las ADI 4.245 y 7.686 cumplen todos los requisitos formales de admisibilidad y se encuentran en condiciones de ser resueltas sobre el fondo, puesto que el contradictorio formal ha quedado debidamente integrado y se han recabado las manifestaciones de las partes intervinientes, del Abogado General de la Unión y del Procurador General de la República.</w:t>
      </w:r>
    </w:p>
    <w:p w14:paraId="323E089C" w14:textId="77777777" w:rsidR="002C1B58" w:rsidRPr="00B06F4F" w:rsidRDefault="002C1B58">
      <w:pPr>
        <w:pStyle w:val="SFPd"/>
        <w:rPr>
          <w:color w:val="000000"/>
          <w:lang w:val="pt-BR"/>
        </w:rPr>
      </w:pPr>
      <w:r w:rsidRPr="00B06F4F">
        <w:rPr>
          <w:color w:val="000000"/>
          <w:lang w:val="pt-BR"/>
        </w:rPr>
        <w:t xml:space="preserve">        </w:t>
      </w:r>
    </w:p>
    <w:p w14:paraId="10DD0824" w14:textId="77777777" w:rsidR="002C1B58" w:rsidRPr="00B06F4F" w:rsidRDefault="002C1B58">
      <w:pPr>
        <w:pStyle w:val="SFPd"/>
        <w:rPr>
          <w:color w:val="000000"/>
          <w:lang w:val="pt-BR"/>
        </w:rPr>
      </w:pPr>
      <w:r>
        <w:rPr>
          <w:color w:val="000000"/>
          <w:lang w:val="pt-BR"/>
        </w:rPr>
        <w:t>7. Por consiguiente, declaro admisibles las ADI 4.245 y 7.686 y paso al análisis de fondo.</w:t>
      </w:r>
    </w:p>
    <w:p w14:paraId="0A8DFACA" w14:textId="77777777" w:rsidR="002C1B58" w:rsidRPr="00B06F4F" w:rsidRDefault="002C1B58">
      <w:pPr>
        <w:pStyle w:val="SFPd"/>
        <w:rPr>
          <w:color w:val="000000"/>
          <w:lang w:val="pt-BR"/>
        </w:rPr>
      </w:pPr>
      <w:r w:rsidRPr="00B06F4F">
        <w:rPr>
          <w:color w:val="000000"/>
          <w:lang w:val="pt-BR"/>
        </w:rPr>
        <w:t xml:space="preserve">        </w:t>
      </w:r>
    </w:p>
    <w:p w14:paraId="03DAC338" w14:textId="77777777" w:rsidR="002C1B58" w:rsidRPr="00B06F4F" w:rsidRDefault="002C1B58">
      <w:pPr>
        <w:pStyle w:val="SFPd"/>
        <w:rPr>
          <w:color w:val="000000"/>
          <w:lang w:val="pt-BR"/>
        </w:rPr>
      </w:pPr>
      <w:r>
        <w:rPr>
          <w:smallCaps/>
          <w:color w:val="000000"/>
          <w:lang w:val="pt-BR"/>
        </w:rPr>
        <w:t xml:space="preserve">II. Mérito </w:t>
      </w:r>
    </w:p>
    <w:p w14:paraId="7A7FF8C8" w14:textId="77777777" w:rsidR="002C1B58" w:rsidRPr="00B06F4F" w:rsidRDefault="002C1B58">
      <w:pPr>
        <w:pStyle w:val="SFPd"/>
        <w:rPr>
          <w:color w:val="000000"/>
          <w:lang w:val="pt-BR"/>
        </w:rPr>
      </w:pPr>
      <w:r w:rsidRPr="00B06F4F">
        <w:rPr>
          <w:color w:val="000000"/>
          <w:lang w:val="pt-BR"/>
        </w:rPr>
        <w:t xml:space="preserve">        </w:t>
      </w:r>
    </w:p>
    <w:p w14:paraId="1A780EC3" w14:textId="77777777" w:rsidR="002C1B58" w:rsidRPr="00B06F4F" w:rsidRDefault="002C1B58">
      <w:pPr>
        <w:pStyle w:val="SFPd"/>
        <w:rPr>
          <w:color w:val="000000"/>
          <w:lang w:val="pt-BR"/>
        </w:rPr>
      </w:pPr>
      <w:r>
        <w:rPr>
          <w:color w:val="000000"/>
          <w:lang w:val="pt-BR"/>
        </w:rPr>
        <w:t>8. Como se informó, ADI 4.245 cuestiona once disposiciones del Convenio de La Haya de 1980 sobre los aspectos civiles de la sustracción (o secuestro) internacional de niños: artículos 1, “a”; 3º; 7°, caput y párrafo “f”; 11; 12; 13, “b”; 15; 16; 17; 18 y 21. En esencia, la acción cuestiona los mecanismos convencionales que apuntan al rápido retorno del niño al país de residencia habitual, sosteniendo que el retorno inmediato y la adopción de medidas urgentes sólo pueden determinarse después de evaluar las peculiaridades del caso concreto y cuando responde al interés superior del niño, mediante contradicción previa y robusta.</w:t>
      </w:r>
    </w:p>
    <w:p w14:paraId="0ADB1D4B" w14:textId="77777777" w:rsidR="002C1B58" w:rsidRPr="00B06F4F" w:rsidRDefault="002C1B58">
      <w:pPr>
        <w:pStyle w:val="SFPd"/>
        <w:rPr>
          <w:color w:val="000000"/>
          <w:lang w:val="pt-BR"/>
        </w:rPr>
      </w:pPr>
      <w:r w:rsidRPr="00B06F4F">
        <w:rPr>
          <w:color w:val="000000"/>
          <w:lang w:val="pt-BR"/>
        </w:rPr>
        <w:t xml:space="preserve">        </w:t>
      </w:r>
    </w:p>
    <w:p w14:paraId="12FF808B" w14:textId="77777777" w:rsidR="002C1B58" w:rsidRPr="00B06F4F" w:rsidRDefault="002C1B58">
      <w:pPr>
        <w:pStyle w:val="SFPd"/>
        <w:rPr>
          <w:color w:val="000000"/>
          <w:lang w:val="pt-BR"/>
        </w:rPr>
      </w:pPr>
      <w:r>
        <w:rPr>
          <w:color w:val="000000"/>
          <w:lang w:val="pt-BR"/>
        </w:rPr>
        <w:t xml:space="preserve">9. La ADI 7.686 postula que el art. 13 (1) (b) de la Convención, también impugnado en ADI 4.245, debe interpretarse de conformidad con la Constitución, de modo que incluya, entre los casos de no restitución del niño[2], los casos de violencia doméstica contra la mujer, incluso si el niño no es la víctima principal directa ni está expuesto al peligro. </w:t>
      </w:r>
    </w:p>
    <w:p w14:paraId="6EF3141C" w14:textId="77777777" w:rsidR="002C1B58" w:rsidRPr="00B06F4F" w:rsidRDefault="002C1B58">
      <w:pPr>
        <w:pStyle w:val="SFPd"/>
        <w:rPr>
          <w:color w:val="000000"/>
          <w:lang w:val="pt-BR"/>
        </w:rPr>
      </w:pPr>
      <w:r w:rsidRPr="00B06F4F">
        <w:rPr>
          <w:color w:val="000000"/>
          <w:lang w:val="pt-BR"/>
        </w:rPr>
        <w:lastRenderedPageBreak/>
        <w:t xml:space="preserve">        </w:t>
      </w:r>
    </w:p>
    <w:p w14:paraId="7E57582D" w14:textId="77777777" w:rsidR="002C1B58" w:rsidRPr="00B06F4F" w:rsidRDefault="002C1B58">
      <w:pPr>
        <w:pStyle w:val="SFPd"/>
        <w:rPr>
          <w:color w:val="000000"/>
          <w:lang w:val="pt-BR"/>
        </w:rPr>
      </w:pPr>
      <w:r>
        <w:rPr>
          <w:color w:val="000000"/>
          <w:lang w:val="pt-BR"/>
        </w:rPr>
        <w:t xml:space="preserve">10. Las acciones directas analizadas tienen importantes puntos de intersección, lo que recomienda un análisis conjunto, especialmente en lo que respecta a la aplicación de la Convención teniendo como filtro el interés superior del niño y los posibles riesgos derivados de las órdenes de restitución en contextos de violencia doméstica y familiar.  </w:t>
      </w:r>
    </w:p>
    <w:p w14:paraId="77DEA6A9" w14:textId="77777777" w:rsidR="002C1B58" w:rsidRPr="00B06F4F" w:rsidRDefault="002C1B58">
      <w:pPr>
        <w:pStyle w:val="SFPd"/>
        <w:rPr>
          <w:color w:val="000000"/>
          <w:lang w:val="pt-BR"/>
        </w:rPr>
      </w:pPr>
      <w:r w:rsidRPr="00B06F4F">
        <w:rPr>
          <w:color w:val="000000"/>
          <w:lang w:val="pt-BR"/>
        </w:rPr>
        <w:t xml:space="preserve">        </w:t>
      </w:r>
    </w:p>
    <w:p w14:paraId="33ACAC63" w14:textId="77777777" w:rsidR="002C1B58" w:rsidRPr="00B06F4F" w:rsidRDefault="002C1B58">
      <w:pPr>
        <w:pStyle w:val="SFPd"/>
        <w:rPr>
          <w:color w:val="000000"/>
          <w:lang w:val="pt-BR"/>
        </w:rPr>
      </w:pPr>
      <w:r>
        <w:rPr>
          <w:color w:val="000000"/>
          <w:lang w:val="pt-BR"/>
        </w:rPr>
        <w:t xml:space="preserve">11. En el análisis sobre el fondos estructuré mi voto en tres partes. La Parte I está dedicada a las premisas para una adecuada comprensión de la controversia, explicando los objetivos y la forma en que opera el Convenio de La Haya de 1980 y los fundamentos teóricos y fácticos para su adecuada interpretación. La Parte II trata de la solución del caso, proponiendo medidas para abordar los problemas de demora en la resolución de casos relacionados con el Convenio de La Haya de 1980 y casos de violencia doméstica contra las mujeres. Finalmente, en la Parte III abordo las demás inconstitucionalidades señaladas en la ADI 4.245. </w:t>
      </w:r>
    </w:p>
    <w:p w14:paraId="025E29B6" w14:textId="77777777" w:rsidR="002C1B58" w:rsidRPr="00B06F4F" w:rsidRDefault="002C1B58">
      <w:pPr>
        <w:pStyle w:val="SFPd"/>
        <w:rPr>
          <w:color w:val="000000"/>
          <w:lang w:val="pt-BR"/>
        </w:rPr>
      </w:pPr>
      <w:r w:rsidRPr="00B06F4F">
        <w:rPr>
          <w:color w:val="000000"/>
          <w:lang w:val="pt-BR"/>
        </w:rPr>
        <w:t xml:space="preserve">        </w:t>
      </w:r>
    </w:p>
    <w:p w14:paraId="7172D320" w14:textId="77777777" w:rsidR="002C1B58" w:rsidRPr="00B06F4F" w:rsidRDefault="002C1B58">
      <w:pPr>
        <w:pStyle w:val="SFPdCnrlzd"/>
        <w:rPr>
          <w:color w:val="000000"/>
          <w:lang w:val="pt-BR"/>
        </w:rPr>
      </w:pPr>
      <w:r>
        <w:rPr>
          <w:smallCaps/>
          <w:color w:val="000000"/>
          <w:lang w:val="pt-BR"/>
        </w:rPr>
        <w:t>Parte I</w:t>
      </w:r>
    </w:p>
    <w:p w14:paraId="5D1A72AE" w14:textId="77777777" w:rsidR="002C1B58" w:rsidRPr="00B06F4F" w:rsidRDefault="002C1B58">
      <w:pPr>
        <w:pStyle w:val="SFPdCnrlzd"/>
        <w:rPr>
          <w:color w:val="000000"/>
          <w:lang w:val="pt-BR"/>
        </w:rPr>
      </w:pPr>
    </w:p>
    <w:p w14:paraId="5AAE57F3" w14:textId="77777777" w:rsidR="002C1B58" w:rsidRPr="00B06F4F" w:rsidRDefault="002C1B58">
      <w:pPr>
        <w:pStyle w:val="SFPdCnrlzd"/>
        <w:rPr>
          <w:color w:val="000000"/>
          <w:lang w:val="pt-BR"/>
        </w:rPr>
      </w:pPr>
      <w:r>
        <w:rPr>
          <w:smallCaps/>
          <w:color w:val="000000"/>
          <w:lang w:val="pt-BR"/>
        </w:rPr>
        <w:t>Premisas para entender la polémica</w:t>
      </w:r>
    </w:p>
    <w:p w14:paraId="6D70DDD7" w14:textId="77777777" w:rsidR="002C1B58" w:rsidRPr="00B06F4F" w:rsidRDefault="002C1B58">
      <w:pPr>
        <w:pStyle w:val="SFPd"/>
        <w:rPr>
          <w:color w:val="000000"/>
          <w:lang w:val="pt-BR"/>
        </w:rPr>
      </w:pPr>
      <w:r w:rsidRPr="00B06F4F">
        <w:rPr>
          <w:color w:val="000000"/>
          <w:lang w:val="pt-BR"/>
        </w:rPr>
        <w:t xml:space="preserve">        </w:t>
      </w:r>
    </w:p>
    <w:p w14:paraId="1DFB75C5" w14:textId="77777777" w:rsidR="002C1B58" w:rsidRPr="00B06F4F" w:rsidRDefault="002C1B58">
      <w:pPr>
        <w:pStyle w:val="SFPd"/>
        <w:rPr>
          <w:color w:val="000000"/>
          <w:lang w:val="pt-BR"/>
        </w:rPr>
      </w:pPr>
      <w:r>
        <w:rPr>
          <w:smallCaps/>
          <w:color w:val="000000"/>
          <w:lang w:val="pt-BR"/>
        </w:rPr>
        <w:t>I.1. La Convención de La Haya de 1980</w:t>
      </w:r>
    </w:p>
    <w:p w14:paraId="52E1D95D" w14:textId="77777777" w:rsidR="002C1B58" w:rsidRPr="00B06F4F" w:rsidRDefault="002C1B58">
      <w:pPr>
        <w:pStyle w:val="SFPd"/>
        <w:rPr>
          <w:color w:val="000000"/>
          <w:lang w:val="pt-BR"/>
        </w:rPr>
      </w:pPr>
    </w:p>
    <w:p w14:paraId="3D5C939C" w14:textId="77777777" w:rsidR="002C1B58" w:rsidRPr="00B06F4F" w:rsidRDefault="002C1B58">
      <w:pPr>
        <w:pStyle w:val="SFPd"/>
        <w:rPr>
          <w:color w:val="000000"/>
          <w:lang w:val="pt-BR"/>
        </w:rPr>
      </w:pPr>
      <w:r>
        <w:rPr>
          <w:b/>
          <w:bCs/>
          <w:color w:val="000000"/>
          <w:lang w:val="pt-BR"/>
        </w:rPr>
        <w:t>a) Consideraciones generales y estatus supralegal</w:t>
      </w:r>
    </w:p>
    <w:p w14:paraId="2397A4CF" w14:textId="77777777" w:rsidR="002C1B58" w:rsidRPr="00B06F4F" w:rsidRDefault="002C1B58">
      <w:pPr>
        <w:pStyle w:val="SFPd"/>
        <w:rPr>
          <w:color w:val="000000"/>
          <w:lang w:val="pt-BR"/>
        </w:rPr>
      </w:pPr>
      <w:r w:rsidRPr="00B06F4F">
        <w:rPr>
          <w:color w:val="000000"/>
          <w:lang w:val="pt-BR"/>
        </w:rPr>
        <w:t xml:space="preserve">        </w:t>
      </w:r>
    </w:p>
    <w:p w14:paraId="0B9A6A93" w14:textId="77777777" w:rsidR="002C1B58" w:rsidRPr="00B06F4F" w:rsidRDefault="002C1B58">
      <w:pPr>
        <w:pStyle w:val="SFPd"/>
        <w:rPr>
          <w:color w:val="000000"/>
          <w:lang w:val="pt-BR"/>
        </w:rPr>
      </w:pPr>
      <w:r>
        <w:rPr>
          <w:color w:val="000000"/>
          <w:lang w:val="pt-BR"/>
        </w:rPr>
        <w:t>12. El Convenio sobre los Aspectos Civiles de la Sustracción Internacional de Niños, celebrado en La Haya el 25 de octubre de 1980, constituye un instrumento central del derecho internacional privado destinado a proteger los derechos del niño en situaciones en las que uno de los progenitores o responsables legales, sin el consentimiento del otro, traslada ilícitamente al niño a un país distinto de aquel en el que residía habitualmente, o no lo devuelve en el plazo convenido cuando el viaje por un período determinado había sido inicialmente consentido. En Brasil, fue aprobado por el Decreto Legislativo nº 79/1999 y promulgado por el Decreto Presidencial nº 3.413/2000, y actualmente ha sido ratificado por 103 países.</w:t>
      </w:r>
    </w:p>
    <w:p w14:paraId="3DF746EB" w14:textId="77777777" w:rsidR="002C1B58" w:rsidRPr="00B06F4F" w:rsidRDefault="002C1B58">
      <w:pPr>
        <w:pStyle w:val="SFPd"/>
        <w:rPr>
          <w:color w:val="000000"/>
          <w:lang w:val="pt-BR"/>
        </w:rPr>
      </w:pPr>
      <w:r w:rsidRPr="00B06F4F">
        <w:rPr>
          <w:color w:val="000000"/>
          <w:lang w:val="pt-BR"/>
        </w:rPr>
        <w:t xml:space="preserve">        </w:t>
      </w:r>
    </w:p>
    <w:p w14:paraId="52688414" w14:textId="77777777" w:rsidR="002C1B58" w:rsidRPr="00B06F4F" w:rsidRDefault="002C1B58">
      <w:pPr>
        <w:pStyle w:val="SFPd"/>
        <w:rPr>
          <w:color w:val="000000"/>
          <w:lang w:val="pt-BR"/>
        </w:rPr>
      </w:pPr>
      <w:r>
        <w:rPr>
          <w:color w:val="000000"/>
          <w:lang w:val="pt-BR"/>
        </w:rPr>
        <w:t xml:space="preserve">13. En esencia, el Convenio procura restablecer el statu quo del niño anterior al desplazamiento mediante su retorno inmediato al país de residencia habitual, donde las cuestiones de custodia y visita deben ser resueltas por las autoridades locales. Sus dos objetivos, expresados en el art. 1º, son “garantizar el retorno inmediato de los niños trasladados ilícitamente” o “retenidos indebidamente” en cualquiera de los Estados parte del tratado, así como hacer respetar los derechos de custodia y de visita existentes. Para </w:t>
      </w:r>
      <w:r>
        <w:rPr>
          <w:color w:val="000000"/>
          <w:lang w:val="pt-BR"/>
        </w:rPr>
        <w:lastRenderedPageBreak/>
        <w:t>alcanzar esos objetivos, el Convenio establece un sistema de cooperación internacional basado en la designación de una Autoridad Central encargada de cumplirlo (art. 6º); un procedimiento rápido para decidir el retorno del niño (arts. 2º y 11); y la presunción de retorno del niño al país de residencia habitual, salvo las excepciones taxativas (arts. 12 y 13).</w:t>
      </w:r>
    </w:p>
    <w:p w14:paraId="0E9FE3E3" w14:textId="77777777" w:rsidR="002C1B58" w:rsidRPr="00B06F4F" w:rsidRDefault="002C1B58">
      <w:pPr>
        <w:pStyle w:val="SFPd"/>
        <w:rPr>
          <w:color w:val="000000"/>
          <w:lang w:val="pt-BR"/>
        </w:rPr>
      </w:pPr>
      <w:r w:rsidRPr="00B06F4F">
        <w:rPr>
          <w:color w:val="000000"/>
          <w:lang w:val="pt-BR"/>
        </w:rPr>
        <w:t xml:space="preserve">        </w:t>
      </w:r>
    </w:p>
    <w:p w14:paraId="26F62F2B" w14:textId="77777777" w:rsidR="002C1B58" w:rsidRPr="00B06F4F" w:rsidRDefault="002C1B58">
      <w:pPr>
        <w:pStyle w:val="SFPd"/>
        <w:rPr>
          <w:color w:val="000000"/>
          <w:lang w:val="pt-BR"/>
        </w:rPr>
      </w:pPr>
      <w:r>
        <w:rPr>
          <w:color w:val="000000"/>
          <w:lang w:val="pt-BR"/>
        </w:rPr>
        <w:t xml:space="preserve">14. La aplicabilidad de la Convención cesa al cumplir los dieciséis años de edad (art. 4). La expresión “niño” se utiliza, por tanto, como un concepto específico de la Convención de 1980, que no debe confundirse con las nociones de niño y adolescente utilizadas en la legislación brasileña, como el Estatuto del Niño y del Adolescente (Ley nº 8.069/1990). </w:t>
      </w:r>
    </w:p>
    <w:p w14:paraId="4D7C44D6" w14:textId="77777777" w:rsidR="002C1B58" w:rsidRPr="00B06F4F" w:rsidRDefault="002C1B58">
      <w:pPr>
        <w:pStyle w:val="SFPd"/>
        <w:rPr>
          <w:color w:val="000000"/>
          <w:lang w:val="pt-BR"/>
        </w:rPr>
      </w:pPr>
      <w:r w:rsidRPr="00B06F4F">
        <w:rPr>
          <w:color w:val="000000"/>
          <w:lang w:val="pt-BR"/>
        </w:rPr>
        <w:t xml:space="preserve">        </w:t>
      </w:r>
    </w:p>
    <w:p w14:paraId="336992C5" w14:textId="77777777" w:rsidR="002C1B58" w:rsidRPr="00B06F4F" w:rsidRDefault="002C1B58">
      <w:pPr>
        <w:pStyle w:val="SFPd"/>
        <w:rPr>
          <w:color w:val="000000"/>
          <w:lang w:val="pt-BR"/>
        </w:rPr>
      </w:pPr>
      <w:r>
        <w:rPr>
          <w:color w:val="000000"/>
          <w:lang w:val="pt-BR"/>
        </w:rPr>
        <w:t>15. El Convenio no se ocupa de cuestiones penales. Por ello, aunque la expresión inglesa child abduction se ha traducido como “secuestro internacional de niños”, en este voto optaré por el término “sustracción internacional de niños”, en lugar de “secuestro”, para excluir toda connotación penal de la conducta. Esta es, además, la denominación empleada por la Ordenanza MJSP nº 688, de 24.5.2024 (art. 3º, incisos I y II).</w:t>
      </w:r>
    </w:p>
    <w:p w14:paraId="74305EEA" w14:textId="77777777" w:rsidR="002C1B58" w:rsidRPr="00B06F4F" w:rsidRDefault="002C1B58">
      <w:pPr>
        <w:pStyle w:val="SFPd"/>
        <w:rPr>
          <w:color w:val="000000"/>
          <w:lang w:val="pt-BR"/>
        </w:rPr>
      </w:pPr>
      <w:r w:rsidRPr="00B06F4F">
        <w:rPr>
          <w:color w:val="000000"/>
          <w:lang w:val="pt-BR"/>
        </w:rPr>
        <w:t xml:space="preserve">        </w:t>
      </w:r>
    </w:p>
    <w:p w14:paraId="7EB61E8E" w14:textId="77777777" w:rsidR="002C1B58" w:rsidRPr="00B06F4F" w:rsidRDefault="002C1B58">
      <w:pPr>
        <w:pStyle w:val="SFPd"/>
        <w:rPr>
          <w:color w:val="000000"/>
          <w:lang w:val="pt-BR"/>
        </w:rPr>
      </w:pPr>
      <w:r>
        <w:rPr>
          <w:color w:val="000000"/>
          <w:lang w:val="pt-BR"/>
        </w:rPr>
        <w:t>16. Antes de detallar su funcionamiento, procedimientos y contexto de aplicación, es necesario establecer, de entrada, que la Convención de La Haya de 1980 tiene rango supralegal en el ordenamiento jurídico brasileño, al inscribirse en el ámbito de la protección de los derechos humanos de los niños.[3] Esto significa que, si bien no tiene una jerarquía equivalente a la de las reformas constitucionales (ya que no ha sido internalizada según el rito del § 3 del artículo 5 de la Constitución), tiene prevalencia sobre la legislación infraconstitucional, lo que asegura un grado reforzado de protección jurídica, conformando la interpretación de las normas internas.</w:t>
      </w:r>
    </w:p>
    <w:p w14:paraId="2BBF2EFD" w14:textId="77777777" w:rsidR="002C1B58" w:rsidRPr="00B06F4F" w:rsidRDefault="002C1B58">
      <w:pPr>
        <w:pStyle w:val="SFPd"/>
        <w:rPr>
          <w:color w:val="000000"/>
          <w:lang w:val="pt-BR"/>
        </w:rPr>
      </w:pPr>
      <w:r w:rsidRPr="00B06F4F">
        <w:rPr>
          <w:color w:val="000000"/>
          <w:lang w:val="pt-BR"/>
        </w:rPr>
        <w:t xml:space="preserve">        </w:t>
      </w:r>
    </w:p>
    <w:p w14:paraId="607A6E0F" w14:textId="77777777" w:rsidR="002C1B58" w:rsidRPr="00B06F4F" w:rsidRDefault="002C1B58">
      <w:pPr>
        <w:pStyle w:val="SFPd"/>
        <w:rPr>
          <w:color w:val="000000"/>
          <w:lang w:val="pt-BR"/>
        </w:rPr>
      </w:pPr>
      <w:r>
        <w:rPr>
          <w:color w:val="000000"/>
          <w:lang w:val="pt-BR"/>
        </w:rPr>
        <w:t xml:space="preserve">17. Al adherirse al Convenio de La Haya de 1980, los Estados firmantes (actualmente 103 países) reconocieron que, como regla general, el traslado o la retención indebida de un niño fuera de su país de residencia habitual es perjudicial para su bienestar, salvo en los casos restringidos de no restitución previstos en el propio tratado (artículos 12, 13 y 20)[4]. Partiendo de esta premisa, el tratado presume que el retorno inmediato al Estado de residencia habitual es la medida que satisface el interés superior del niño, ya que favorece su desarrollo integral y preserva los vínculos familiares y comunitarios. Por ello, el Convenio establece, en el art. 12, el deber internacional de restitución inmediata del niño: </w:t>
      </w:r>
    </w:p>
    <w:p w14:paraId="53DD2099" w14:textId="77777777" w:rsidR="002C1B58" w:rsidRPr="00B06F4F" w:rsidRDefault="002C1B58">
      <w:pPr>
        <w:pStyle w:val="SFPd"/>
        <w:rPr>
          <w:color w:val="000000"/>
          <w:lang w:val="pt-BR"/>
        </w:rPr>
      </w:pPr>
      <w:r w:rsidRPr="00B06F4F">
        <w:rPr>
          <w:color w:val="000000"/>
          <w:lang w:val="pt-BR"/>
        </w:rPr>
        <w:t xml:space="preserve">        </w:t>
      </w:r>
    </w:p>
    <w:p w14:paraId="65385DAE" w14:textId="77777777" w:rsidR="002C1B58" w:rsidRPr="00B06F4F" w:rsidRDefault="002C1B58">
      <w:pPr>
        <w:pStyle w:val="SFCto"/>
        <w:rPr>
          <w:color w:val="000000"/>
          <w:lang w:val="pt-BR"/>
        </w:rPr>
      </w:pPr>
      <w:r>
        <w:rPr>
          <w:color w:val="000000"/>
          <w:lang w:val="pt-BR"/>
        </w:rPr>
        <w:t>Artículo 12</w:t>
      </w:r>
    </w:p>
    <w:p w14:paraId="3E6EBCB8" w14:textId="77777777" w:rsidR="002C1B58" w:rsidRPr="00B06F4F" w:rsidRDefault="002C1B58">
      <w:pPr>
        <w:pStyle w:val="SFCto"/>
        <w:rPr>
          <w:color w:val="000000"/>
          <w:lang w:val="pt-BR"/>
        </w:rPr>
      </w:pPr>
      <w:r>
        <w:rPr>
          <w:color w:val="000000"/>
          <w:lang w:val="pt-BR"/>
        </w:rPr>
        <w:t xml:space="preserve">1. Cuando un niño haya sido trasladado o retenido ilegalmente de conformidad con el artículo 3 y haya transcurrido </w:t>
      </w:r>
      <w:r>
        <w:rPr>
          <w:color w:val="000000"/>
          <w:lang w:val="pt-BR"/>
        </w:rPr>
        <w:lastRenderedPageBreak/>
        <w:t>un período inferior a 1 año entre la fecha del traslado o retención ilícitos y la fecha de inicio del procedimiento ante la autoridad judicial o administrativa del Estado Contratante en el que se encuentre el niño, la autoridad respectiva ordenará la restitución inmediata del niño.</w:t>
      </w:r>
    </w:p>
    <w:p w14:paraId="394AB6E3" w14:textId="77777777" w:rsidR="002C1B58" w:rsidRPr="00B06F4F" w:rsidRDefault="002C1B58">
      <w:pPr>
        <w:pStyle w:val="SFCto"/>
        <w:rPr>
          <w:color w:val="000000"/>
          <w:lang w:val="pt-BR"/>
        </w:rPr>
      </w:pPr>
      <w:r>
        <w:rPr>
          <w:color w:val="000000"/>
          <w:lang w:val="pt-BR"/>
        </w:rPr>
        <w:t>2. La autoridad judicial o administrativa respectiva, incluso transcurrido el plazo de un año a que se refiere el párrafo anterior, deberá ordenar la restitución del niño, salvo que se pruebe que el niño ya se encuentra integrado a su nuevo entorno.</w:t>
      </w:r>
    </w:p>
    <w:p w14:paraId="0256E65B" w14:textId="77777777" w:rsidR="002C1B58" w:rsidRPr="00B06F4F" w:rsidRDefault="002C1B58">
      <w:pPr>
        <w:pStyle w:val="SFCto"/>
        <w:rPr>
          <w:color w:val="000000"/>
          <w:lang w:val="pt-BR"/>
        </w:rPr>
      </w:pPr>
      <w:r>
        <w:rPr>
          <w:color w:val="000000"/>
          <w:lang w:val="pt-BR"/>
        </w:rPr>
        <w:t>3. Cuando la autoridad judicial o administrativa del Estado demandado tenga motivos para creer que el niño ha sido llevado a otro Estado, podrá suspender el proceso o rechazar la solicitud de restitución del niño.</w:t>
      </w:r>
    </w:p>
    <w:p w14:paraId="5ACFD3E6" w14:textId="77777777" w:rsidR="002C1B58" w:rsidRPr="00B06F4F" w:rsidRDefault="002C1B58">
      <w:pPr>
        <w:pStyle w:val="SFPd"/>
        <w:rPr>
          <w:color w:val="000000"/>
          <w:lang w:val="pt-BR"/>
        </w:rPr>
      </w:pPr>
      <w:r w:rsidRPr="00B06F4F">
        <w:rPr>
          <w:color w:val="000000"/>
          <w:lang w:val="pt-BR"/>
        </w:rPr>
        <w:t xml:space="preserve">        </w:t>
      </w:r>
    </w:p>
    <w:p w14:paraId="72010A27" w14:textId="77777777" w:rsidR="002C1B58" w:rsidRPr="00B06F4F" w:rsidRDefault="002C1B58">
      <w:pPr>
        <w:pStyle w:val="SFPd"/>
        <w:rPr>
          <w:color w:val="000000"/>
          <w:lang w:val="pt-BR"/>
        </w:rPr>
      </w:pPr>
      <w:r>
        <w:rPr>
          <w:color w:val="000000"/>
          <w:lang w:val="pt-BR"/>
        </w:rPr>
        <w:t xml:space="preserve">18. Los firmantes del acuerdo internacional tienen la expectativa de que los demás Estados Partes también cumplan con las disposiciones acordadas, siendo un documento de elección de jurisdicción, basado en la confianza mutua y la percepción de que la autoridad judicial del país de residencia habitual puede tratar de manera justa y adecuada las cuestiones de custodia[5]. El deber de devolver inmediatamente al niño al Estado de residencia habitual también pretende tener un efecto disuasorio sobre los padres que consideran llevar a un niño a un Estado distinto de su residencia habitual (padre adoptivo), sin el consentimiento del otro progenitor (progenitor que permaneció en el Estado de residencia habitual)[6]. </w:t>
      </w:r>
    </w:p>
    <w:p w14:paraId="2CEF64B8" w14:textId="77777777" w:rsidR="002C1B58" w:rsidRPr="00B06F4F" w:rsidRDefault="002C1B58">
      <w:pPr>
        <w:pStyle w:val="SFPd"/>
        <w:rPr>
          <w:color w:val="000000"/>
          <w:lang w:val="pt-BR"/>
        </w:rPr>
      </w:pPr>
      <w:r w:rsidRPr="00B06F4F">
        <w:rPr>
          <w:color w:val="000000"/>
          <w:lang w:val="pt-BR"/>
        </w:rPr>
        <w:t xml:space="preserve">        </w:t>
      </w:r>
    </w:p>
    <w:p w14:paraId="76F7A5B5" w14:textId="77777777" w:rsidR="002C1B58" w:rsidRPr="00B06F4F" w:rsidRDefault="002C1B58">
      <w:pPr>
        <w:pStyle w:val="SFPd"/>
        <w:rPr>
          <w:color w:val="000000"/>
          <w:lang w:val="pt-BR"/>
        </w:rPr>
      </w:pPr>
      <w:r>
        <w:rPr>
          <w:color w:val="000000"/>
          <w:lang w:val="pt-BR"/>
        </w:rPr>
        <w:t xml:space="preserve">19. En esencia, el Convenio de La Haya se basa en una lógica de urgencia y rapidez, en la que el paso del tiempo puede dificultar la resolución del conflicto y causar daño al niño. Cada día que un niño permanece “secuestrado” de su lugar de residencia habitual puede tener repercusiones socioemocionales, con la erosión del contacto con uno de los padres (progenitor que permaneció en el Estado de residencia habitual) y la comunidad a la que estaba acostumbrado. La restitución inoportuna, a su vez, puede causar al niño nuevos sufrimientos y una grave inestabilidad emocional. Esta urgencia está expresamente indicada en los artículos 2 y 11 de la Convención: </w:t>
      </w:r>
    </w:p>
    <w:p w14:paraId="159CF9CE" w14:textId="77777777" w:rsidR="002C1B58" w:rsidRPr="00B06F4F" w:rsidRDefault="002C1B58">
      <w:pPr>
        <w:pStyle w:val="SFPd"/>
        <w:rPr>
          <w:color w:val="000000"/>
          <w:lang w:val="pt-BR"/>
        </w:rPr>
      </w:pPr>
      <w:r w:rsidRPr="00B06F4F">
        <w:rPr>
          <w:color w:val="000000"/>
          <w:lang w:val="pt-BR"/>
        </w:rPr>
        <w:t xml:space="preserve">        </w:t>
      </w:r>
    </w:p>
    <w:p w14:paraId="422820CA" w14:textId="77777777" w:rsidR="002C1B58" w:rsidRPr="00B06F4F" w:rsidRDefault="002C1B58">
      <w:pPr>
        <w:pStyle w:val="SFCto"/>
        <w:rPr>
          <w:color w:val="000000"/>
          <w:lang w:val="pt-BR"/>
        </w:rPr>
      </w:pPr>
      <w:r>
        <w:rPr>
          <w:color w:val="000000"/>
          <w:lang w:val="pt-BR"/>
        </w:rPr>
        <w:t>Artículo 2</w:t>
      </w:r>
    </w:p>
    <w:p w14:paraId="187EADC4" w14:textId="77777777" w:rsidR="002C1B58" w:rsidRPr="00B06F4F" w:rsidRDefault="002C1B58">
      <w:pPr>
        <w:pStyle w:val="SFCto"/>
        <w:rPr>
          <w:color w:val="000000"/>
          <w:lang w:val="pt-BR"/>
        </w:rPr>
      </w:pPr>
      <w:r>
        <w:rPr>
          <w:color w:val="000000"/>
          <w:lang w:val="pt-BR"/>
        </w:rPr>
        <w:t>Los Estados contratantes tomarán todas las medidas apropiadas para garantizar, en sus respectivos territorios, el logro de los objetivos del Convenio. Para ello, deberán recurrir a procedimientos de emergencia.</w:t>
      </w:r>
    </w:p>
    <w:p w14:paraId="4EDCFD83" w14:textId="77777777" w:rsidR="002C1B58" w:rsidRPr="00B06F4F" w:rsidRDefault="002C1B58">
      <w:pPr>
        <w:pStyle w:val="SFCto"/>
        <w:rPr>
          <w:color w:val="000000"/>
          <w:lang w:val="pt-BR"/>
        </w:rPr>
      </w:pPr>
      <w:r w:rsidRPr="00B06F4F">
        <w:rPr>
          <w:color w:val="000000"/>
          <w:lang w:val="pt-BR"/>
        </w:rPr>
        <w:t xml:space="preserve">        </w:t>
      </w:r>
    </w:p>
    <w:p w14:paraId="0EF6651B" w14:textId="77777777" w:rsidR="002C1B58" w:rsidRPr="00B06F4F" w:rsidRDefault="002C1B58">
      <w:pPr>
        <w:pStyle w:val="SFCto"/>
        <w:rPr>
          <w:color w:val="000000"/>
          <w:lang w:val="pt-BR"/>
        </w:rPr>
      </w:pPr>
      <w:r>
        <w:rPr>
          <w:color w:val="000000"/>
          <w:lang w:val="pt-BR"/>
        </w:rPr>
        <w:t>Artículo 11</w:t>
      </w:r>
    </w:p>
    <w:p w14:paraId="1D918079" w14:textId="77777777" w:rsidR="002C1B58" w:rsidRPr="00B06F4F" w:rsidRDefault="002C1B58">
      <w:pPr>
        <w:pStyle w:val="SFCto"/>
        <w:rPr>
          <w:color w:val="000000"/>
          <w:lang w:val="pt-BR"/>
        </w:rPr>
      </w:pPr>
      <w:r>
        <w:rPr>
          <w:color w:val="000000"/>
          <w:lang w:val="pt-BR"/>
        </w:rPr>
        <w:t xml:space="preserve">1. Las autoridades judiciales o administrativas de los Estados </w:t>
      </w:r>
      <w:r>
        <w:rPr>
          <w:color w:val="000000"/>
          <w:lang w:val="pt-BR"/>
        </w:rPr>
        <w:lastRenderedPageBreak/>
        <w:t>contratantes adoptarán medidas urgentes con vistas a la restitución del niño.</w:t>
      </w:r>
    </w:p>
    <w:p w14:paraId="71FA5641" w14:textId="77777777" w:rsidR="002C1B58" w:rsidRPr="00B06F4F" w:rsidRDefault="002C1B58">
      <w:pPr>
        <w:pStyle w:val="SFCto"/>
        <w:rPr>
          <w:color w:val="000000"/>
          <w:lang w:val="pt-BR"/>
        </w:rPr>
      </w:pPr>
      <w:r>
        <w:rPr>
          <w:color w:val="000000"/>
          <w:lang w:val="pt-BR"/>
        </w:rPr>
        <w:t>2. Si la autoridad judicial o administrativa respectiva no ha tomado una decisión dentro de las 6 semanas siguientes a la fecha en que le fue presentada la solicitud, el solicitante o la Autoridad Central del Estado demandado, por propia iniciativa o a solicitud de la Autoridad Central del Estado requirente, podrá solicitar una declaración sobre los motivos de la demora. Si la Autoridad Central del Estado demandado recibe la respuesta, esta autoridad deberá transmitirla a la Autoridad Central del Estado requirente o, en su caso, al propio solicitante. (énfasis agregado)</w:t>
      </w:r>
    </w:p>
    <w:p w14:paraId="2BCBF393" w14:textId="77777777" w:rsidR="002C1B58" w:rsidRPr="00B06F4F" w:rsidRDefault="002C1B58">
      <w:pPr>
        <w:pStyle w:val="SFPd"/>
        <w:rPr>
          <w:color w:val="000000"/>
          <w:lang w:val="pt-BR"/>
        </w:rPr>
      </w:pPr>
      <w:r w:rsidRPr="00B06F4F">
        <w:rPr>
          <w:color w:val="000000"/>
          <w:lang w:val="pt-BR"/>
        </w:rPr>
        <w:t xml:space="preserve">        </w:t>
      </w:r>
    </w:p>
    <w:p w14:paraId="4A4C20E6" w14:textId="77777777" w:rsidR="002C1B58" w:rsidRPr="00B06F4F" w:rsidRDefault="002C1B58">
      <w:pPr>
        <w:pStyle w:val="SFPd"/>
        <w:rPr>
          <w:color w:val="000000"/>
          <w:lang w:val="pt-BR"/>
        </w:rPr>
      </w:pPr>
      <w:r>
        <w:rPr>
          <w:color w:val="000000"/>
          <w:lang w:val="pt-BR"/>
        </w:rPr>
        <w:t>20. La definición de retorno del menor al Estado de residencia habitual consiste, por tanto, en un tipo de protección urgente, cuya eficacia depende de mecanismos ágiles de localización del menor, tramitación del proceso y cumplimiento de la decisión, con el retorno efectivo, cuando proceda. En el artículo 11 existe una presunción de demora si los casos no se deciden dentro de las seis semanas siguientes al inicio del procedimiento.</w:t>
      </w:r>
    </w:p>
    <w:p w14:paraId="6596F0DE" w14:textId="77777777" w:rsidR="002C1B58" w:rsidRPr="00B06F4F" w:rsidRDefault="002C1B58">
      <w:pPr>
        <w:pStyle w:val="SFPd"/>
        <w:rPr>
          <w:color w:val="000000"/>
          <w:lang w:val="pt-BR"/>
        </w:rPr>
      </w:pPr>
      <w:r w:rsidRPr="00B06F4F">
        <w:rPr>
          <w:color w:val="000000"/>
          <w:lang w:val="pt-BR"/>
        </w:rPr>
        <w:t xml:space="preserve">        </w:t>
      </w:r>
    </w:p>
    <w:p w14:paraId="6AA36244" w14:textId="77777777" w:rsidR="002C1B58" w:rsidRPr="00B06F4F" w:rsidRDefault="002C1B58">
      <w:pPr>
        <w:pStyle w:val="SFPd"/>
        <w:rPr>
          <w:color w:val="000000"/>
          <w:lang w:val="pt-BR"/>
        </w:rPr>
      </w:pPr>
      <w:r>
        <w:rPr>
          <w:color w:val="000000"/>
          <w:lang w:val="pt-BR"/>
        </w:rPr>
        <w:t>21. La Guía de buenas prácticas para la aplicación del Convenio de La Haya, documento elaborado por la Conferencia de La Haya con el objetivo de una mejor aplicación del acuerdo internacional[7], destaca que se atiende al interés superior del niño cuando existe agilidad en el procedimiento de restitución, lo que permitiría minimizar los efectos de la separación del niño de su entorno familiar, los daños causados por la ruptura de la convivencia con el otro progenitor y la posibilidad de una nueva ruptura de vínculos. creados por el niño en el lugar donde fueron tomados, además de impedir o limitar cualquier ventaja que el progenitor que sustrae al niño pueda tener como consecuencia de la sustracción[8].</w:t>
      </w:r>
    </w:p>
    <w:p w14:paraId="18FDC0F1" w14:textId="77777777" w:rsidR="002C1B58" w:rsidRPr="00B06F4F" w:rsidRDefault="002C1B58">
      <w:pPr>
        <w:pStyle w:val="SFPd"/>
        <w:rPr>
          <w:color w:val="000000"/>
          <w:lang w:val="pt-BR"/>
        </w:rPr>
      </w:pPr>
      <w:r w:rsidRPr="00B06F4F">
        <w:rPr>
          <w:color w:val="000000"/>
          <w:lang w:val="pt-BR"/>
        </w:rPr>
        <w:t xml:space="preserve">        </w:t>
      </w:r>
    </w:p>
    <w:p w14:paraId="59DFA927" w14:textId="77777777" w:rsidR="002C1B58" w:rsidRPr="00B06F4F" w:rsidRDefault="002C1B58">
      <w:pPr>
        <w:pStyle w:val="SFPd"/>
        <w:rPr>
          <w:color w:val="000000"/>
          <w:lang w:val="pt-BR"/>
        </w:rPr>
      </w:pPr>
      <w:r>
        <w:rPr>
          <w:color w:val="000000"/>
          <w:lang w:val="pt-BR"/>
        </w:rPr>
        <w:t xml:space="preserve">22. Partiendo de esta premisa, el Convenio de La Haya de 1980 prevé excepciones restringidas al principio de restitución inmediata del niño. La devolución no es obligatoria cuando: (i) el solicitante de la devolución no ejerció efectivamente el derecho de custodia (artículo 13, 1, “a”, primera parte); (ii) el solicitante consintió posteriormente en el cambio de residencia (artículo 13, 1, “a”, segunda parte); (iii) existe un riesgo grave de que el niño, al regresar, corra peligros físicos o mentales, o quede en una situación intolerable (artículo 13, 1, “b”); (iv) existe oposición del niño a la restitución, siempre que tenga edad y madurez suficientes para que sus opiniones sean consideradas (artículo 13, 2); (v) el proceso de restitución se inicia sólo después de 1 (un) año del traslado o retención indebida y se acredita la integración del niño al lugar de sustracción (artículo 12, 2); y (vi) la devolución es incompatible con los principios fundamentales del Estado </w:t>
      </w:r>
      <w:r>
        <w:rPr>
          <w:color w:val="000000"/>
          <w:lang w:val="pt-BR"/>
        </w:rPr>
        <w:lastRenderedPageBreak/>
        <w:t xml:space="preserve">demandado en materia de protección de los derechos humanos y libertades fundamentales (artículo 20). Verifique los dispositivos: </w:t>
      </w:r>
    </w:p>
    <w:p w14:paraId="74692192" w14:textId="77777777" w:rsidR="002C1B58" w:rsidRPr="00B06F4F" w:rsidRDefault="002C1B58">
      <w:pPr>
        <w:pStyle w:val="SFPd"/>
        <w:rPr>
          <w:color w:val="000000"/>
          <w:lang w:val="pt-BR"/>
        </w:rPr>
      </w:pPr>
      <w:r w:rsidRPr="00B06F4F">
        <w:rPr>
          <w:color w:val="000000"/>
          <w:lang w:val="pt-BR"/>
        </w:rPr>
        <w:t xml:space="preserve">        </w:t>
      </w:r>
    </w:p>
    <w:p w14:paraId="0039C72B" w14:textId="77777777" w:rsidR="002C1B58" w:rsidRPr="00B06F4F" w:rsidRDefault="002C1B58">
      <w:pPr>
        <w:pStyle w:val="SFCto"/>
        <w:rPr>
          <w:color w:val="000000"/>
          <w:lang w:val="pt-BR"/>
        </w:rPr>
      </w:pPr>
      <w:r>
        <w:rPr>
          <w:color w:val="000000"/>
          <w:lang w:val="pt-BR"/>
        </w:rPr>
        <w:t>Artículo 12</w:t>
      </w:r>
    </w:p>
    <w:p w14:paraId="439A6A1A" w14:textId="77777777" w:rsidR="002C1B58" w:rsidRPr="00B06F4F" w:rsidRDefault="002C1B58">
      <w:pPr>
        <w:pStyle w:val="SFCto"/>
        <w:rPr>
          <w:color w:val="000000"/>
          <w:lang w:val="pt-BR"/>
        </w:rPr>
      </w:pPr>
      <w:r>
        <w:rPr>
          <w:color w:val="000000"/>
          <w:lang w:val="pt-BR"/>
        </w:rPr>
        <w:t>1. Cuando un niño haya sido trasladado o retenido ilegalmente de conformidad con el artículo 3 y haya transcurrido un período inferior a 1 año entre la fecha del traslado o retención ilícitos y la fecha de inicio del procedimiento ante la autoridad judicial o administrativa del Estado Contratante en el que se encuentre el niño, la autoridad respectiva ordenará la restitución inmediata del niño.</w:t>
      </w:r>
    </w:p>
    <w:p w14:paraId="15E54B1B" w14:textId="77777777" w:rsidR="002C1B58" w:rsidRPr="00B06F4F" w:rsidRDefault="002C1B58">
      <w:pPr>
        <w:pStyle w:val="SFCto"/>
        <w:rPr>
          <w:color w:val="000000"/>
          <w:lang w:val="pt-BR"/>
        </w:rPr>
      </w:pPr>
      <w:r>
        <w:rPr>
          <w:color w:val="000000"/>
          <w:lang w:val="pt-BR"/>
        </w:rPr>
        <w:t>2. La autoridad judicial o administrativa respectiva, incluso transcurrido el plazo de un año a que se refiere el párrafo anterior, deberá ordenar la restitución del niño, salvo que se pruebe que el niño ya se encuentra integrado a su nuevo entorno.</w:t>
      </w:r>
    </w:p>
    <w:p w14:paraId="187EFCA3" w14:textId="77777777" w:rsidR="002C1B58" w:rsidRPr="00B06F4F" w:rsidRDefault="002C1B58">
      <w:pPr>
        <w:pStyle w:val="SFCto"/>
        <w:rPr>
          <w:color w:val="000000"/>
          <w:lang w:val="pt-BR"/>
        </w:rPr>
      </w:pPr>
      <w:r w:rsidRPr="00B06F4F">
        <w:rPr>
          <w:color w:val="000000"/>
          <w:lang w:val="pt-BR"/>
        </w:rPr>
        <w:t xml:space="preserve">        </w:t>
      </w:r>
    </w:p>
    <w:p w14:paraId="5AAECB09" w14:textId="77777777" w:rsidR="002C1B58" w:rsidRPr="00B06F4F" w:rsidRDefault="002C1B58">
      <w:pPr>
        <w:pStyle w:val="SFCto"/>
        <w:rPr>
          <w:color w:val="000000"/>
          <w:lang w:val="pt-BR"/>
        </w:rPr>
      </w:pPr>
      <w:r>
        <w:rPr>
          <w:color w:val="000000"/>
          <w:lang w:val="pt-BR"/>
        </w:rPr>
        <w:t>Artículo 13</w:t>
      </w:r>
    </w:p>
    <w:p w14:paraId="7EAFFF98" w14:textId="77777777" w:rsidR="002C1B58" w:rsidRPr="00B06F4F" w:rsidRDefault="002C1B58">
      <w:pPr>
        <w:pStyle w:val="SFCto"/>
        <w:rPr>
          <w:color w:val="000000"/>
          <w:lang w:val="pt-BR"/>
        </w:rPr>
      </w:pPr>
      <w:r>
        <w:rPr>
          <w:color w:val="000000"/>
          <w:lang w:val="pt-BR"/>
        </w:rPr>
        <w:t>1. Sin perjuicio de lo dispuesto en el artículo anterior, la autoridad judicial o administrativa del Estado demandado no está obligada a ordenar la restitución del menor si la persona, institución u organismo que se opone a su restitución prueba:</w:t>
      </w:r>
    </w:p>
    <w:p w14:paraId="40ED5691" w14:textId="77777777" w:rsidR="002C1B58" w:rsidRPr="00B06F4F" w:rsidRDefault="002C1B58">
      <w:pPr>
        <w:pStyle w:val="SFCto"/>
        <w:rPr>
          <w:color w:val="000000"/>
          <w:lang w:val="pt-BR"/>
        </w:rPr>
      </w:pPr>
      <w:r>
        <w:rPr>
          <w:color w:val="000000"/>
          <w:lang w:val="pt-BR"/>
        </w:rPr>
        <w:t>a) que la persona, institución u organismo que tenía el cuidado del niño no ejerció efectivamente el derecho de custodia al momento de la transferencia o retención, o que posteriormente había consentido o acordado esta transferencia o retención; o</w:t>
      </w:r>
    </w:p>
    <w:p w14:paraId="6C1EC553" w14:textId="77777777" w:rsidR="002C1B58" w:rsidRPr="00B06F4F" w:rsidRDefault="002C1B58">
      <w:pPr>
        <w:pStyle w:val="SFCto"/>
        <w:rPr>
          <w:color w:val="000000"/>
          <w:lang w:val="pt-BR"/>
        </w:rPr>
      </w:pPr>
      <w:r>
        <w:rPr>
          <w:color w:val="000000"/>
          <w:lang w:val="pt-BR"/>
        </w:rPr>
        <w:t>b) que existe un riesgo grave de que el niño, al regresar, sea sometido a peligros físicos o mentales, o, de cualquier otra forma, quede en una situación intolerable.</w:t>
      </w:r>
    </w:p>
    <w:p w14:paraId="7384FA62" w14:textId="77777777" w:rsidR="002C1B58" w:rsidRPr="00B06F4F" w:rsidRDefault="002C1B58">
      <w:pPr>
        <w:pStyle w:val="SFCto"/>
        <w:rPr>
          <w:color w:val="000000"/>
          <w:lang w:val="pt-BR"/>
        </w:rPr>
      </w:pPr>
      <w:r>
        <w:rPr>
          <w:color w:val="000000"/>
          <w:lang w:val="pt-BR"/>
        </w:rPr>
        <w:t>2. La autoridad judicial o administrativa también podrá negarse a ordenar la restitución del menor si comprueba que éste se opone a ella y que ha alcanzado tal edad y grado de madurez que procede tener en cuenta su criterio al respecto.</w:t>
      </w:r>
    </w:p>
    <w:p w14:paraId="4F867DE8" w14:textId="77777777" w:rsidR="002C1B58" w:rsidRPr="00B06F4F" w:rsidRDefault="002C1B58">
      <w:pPr>
        <w:pStyle w:val="SFCto"/>
        <w:rPr>
          <w:color w:val="000000"/>
          <w:lang w:val="pt-BR"/>
        </w:rPr>
      </w:pPr>
      <w:r>
        <w:rPr>
          <w:color w:val="000000"/>
          <w:lang w:val="pt-BR"/>
        </w:rPr>
        <w:t>3. Al evaluar las circunstancias a que se refiere este artículo, las autoridades judiciales o administrativas tendrán en cuenta la información sobre la situación social del niño proporcionada por la Autoridad Central o cualquier otra autoridad competente en el Estado de residencia habitual del niño.</w:t>
      </w:r>
    </w:p>
    <w:p w14:paraId="7599144E" w14:textId="77777777" w:rsidR="002C1B58" w:rsidRPr="00B06F4F" w:rsidRDefault="002C1B58">
      <w:pPr>
        <w:pStyle w:val="SFCto"/>
        <w:rPr>
          <w:color w:val="000000"/>
          <w:lang w:val="pt-BR"/>
        </w:rPr>
      </w:pPr>
      <w:r w:rsidRPr="00B06F4F">
        <w:rPr>
          <w:color w:val="000000"/>
          <w:lang w:val="pt-BR"/>
        </w:rPr>
        <w:t xml:space="preserve">        </w:t>
      </w:r>
    </w:p>
    <w:p w14:paraId="0CACEB2D" w14:textId="77777777" w:rsidR="002C1B58" w:rsidRPr="00B06F4F" w:rsidRDefault="002C1B58">
      <w:pPr>
        <w:pStyle w:val="SFCto"/>
        <w:rPr>
          <w:color w:val="000000"/>
          <w:lang w:val="pt-BR"/>
        </w:rPr>
      </w:pPr>
      <w:r>
        <w:rPr>
          <w:color w:val="000000"/>
          <w:lang w:val="pt-BR"/>
        </w:rPr>
        <w:t>Artículo 20</w:t>
      </w:r>
    </w:p>
    <w:p w14:paraId="60C6D41E" w14:textId="77777777" w:rsidR="002C1B58" w:rsidRPr="00B06F4F" w:rsidRDefault="002C1B58">
      <w:pPr>
        <w:pStyle w:val="SFCto"/>
        <w:rPr>
          <w:color w:val="000000"/>
          <w:lang w:val="pt-BR"/>
        </w:rPr>
      </w:pPr>
      <w:r>
        <w:rPr>
          <w:color w:val="000000"/>
          <w:lang w:val="pt-BR"/>
        </w:rPr>
        <w:t>La restitución del niño de conformidad con las disposiciones contenidas en el artículo 12 podrá ser denegada cuando no sea compatible con los principios fundamentales del Estado Requerido en materia de protección de los derechos humanos y libertades fundamentales.</w:t>
      </w:r>
    </w:p>
    <w:p w14:paraId="46C47AA2" w14:textId="77777777" w:rsidR="002C1B58" w:rsidRPr="00B06F4F" w:rsidRDefault="002C1B58">
      <w:pPr>
        <w:pStyle w:val="SFPd"/>
        <w:rPr>
          <w:color w:val="000000"/>
          <w:lang w:val="pt-BR"/>
        </w:rPr>
      </w:pPr>
      <w:r w:rsidRPr="00B06F4F">
        <w:rPr>
          <w:color w:val="000000"/>
          <w:lang w:val="pt-BR"/>
        </w:rPr>
        <w:t xml:space="preserve">        </w:t>
      </w:r>
    </w:p>
    <w:p w14:paraId="7AA17CBA" w14:textId="77777777" w:rsidR="002C1B58" w:rsidRPr="00B06F4F" w:rsidRDefault="002C1B58">
      <w:pPr>
        <w:pStyle w:val="SFPd"/>
        <w:rPr>
          <w:color w:val="000000"/>
          <w:lang w:val="pt-BR"/>
        </w:rPr>
      </w:pPr>
      <w:r>
        <w:rPr>
          <w:color w:val="000000"/>
          <w:lang w:val="pt-BR"/>
        </w:rPr>
        <w:t xml:space="preserve">23. La Guía de buenas prácticas para la aplicación del Convenio de la </w:t>
      </w:r>
      <w:r>
        <w:rPr>
          <w:color w:val="000000"/>
          <w:lang w:val="pt-BR"/>
        </w:rPr>
        <w:lastRenderedPageBreak/>
        <w:t>Conferencia de La Haya recomienda que las excepciones se interpreten y apliquen de manera restrictiva, para no socavar el contenido del Convenio, el espíritu de confianza mutua entre jurisdicciones y la lógica de la reciprocidad[9].</w:t>
      </w:r>
    </w:p>
    <w:p w14:paraId="203AF0A5" w14:textId="77777777" w:rsidR="002C1B58" w:rsidRPr="00B06F4F" w:rsidRDefault="002C1B58">
      <w:pPr>
        <w:pStyle w:val="SFPd"/>
        <w:rPr>
          <w:color w:val="000000"/>
          <w:lang w:val="pt-BR"/>
        </w:rPr>
      </w:pPr>
      <w:r w:rsidRPr="00B06F4F">
        <w:rPr>
          <w:color w:val="000000"/>
          <w:lang w:val="pt-BR"/>
        </w:rPr>
        <w:t xml:space="preserve">        </w:t>
      </w:r>
    </w:p>
    <w:p w14:paraId="102EB433" w14:textId="77777777" w:rsidR="002C1B58" w:rsidRPr="00B06F4F" w:rsidRDefault="002C1B58">
      <w:pPr>
        <w:pStyle w:val="SFPd"/>
        <w:rPr>
          <w:color w:val="000000"/>
          <w:lang w:val="pt-BR"/>
        </w:rPr>
      </w:pPr>
      <w:r>
        <w:rPr>
          <w:b/>
          <w:bCs/>
          <w:color w:val="000000"/>
          <w:lang w:val="pt-BR"/>
        </w:rPr>
        <w:t>b) Procedimiento de aplicación del Convenio en Brasil y la cuestión de la velocidad</w:t>
      </w:r>
    </w:p>
    <w:p w14:paraId="6AC3BC3A" w14:textId="77777777" w:rsidR="002C1B58" w:rsidRPr="00B06F4F" w:rsidRDefault="002C1B58">
      <w:pPr>
        <w:pStyle w:val="SFPd"/>
        <w:rPr>
          <w:color w:val="000000"/>
          <w:lang w:val="pt-BR"/>
        </w:rPr>
      </w:pPr>
      <w:r w:rsidRPr="00B06F4F">
        <w:rPr>
          <w:color w:val="000000"/>
          <w:lang w:val="pt-BR"/>
        </w:rPr>
        <w:t xml:space="preserve">        </w:t>
      </w:r>
    </w:p>
    <w:p w14:paraId="7218E3A5" w14:textId="77777777" w:rsidR="002C1B58" w:rsidRPr="00B06F4F" w:rsidRDefault="002C1B58">
      <w:pPr>
        <w:pStyle w:val="SFPd"/>
        <w:rPr>
          <w:color w:val="000000"/>
          <w:lang w:val="pt-BR"/>
        </w:rPr>
      </w:pPr>
      <w:r>
        <w:rPr>
          <w:color w:val="000000"/>
          <w:lang w:val="pt-BR"/>
        </w:rPr>
        <w:t>24. En Brasil, la autoridad central para recibir y enviar solicitudes de cooperación jurídica internacional y hacerse cargo de las obligaciones impuestas por el Convenio de La Haya, en los términos de los artículos 6 y 7 del Convenio, es la Autoridad Central Administrativa Federal para Adopción y Sustracción Internacional de Niños (ACAF), en el ámbito del Departamento de Recuperación de Activos y Cooperación Jurídica Internacional (DRCI) de la Secretaría Nacional de Justicia del Ministerio de Justicia y Seguridad Pública, organismo de la Unión. Actualmente, la cuestión está regulada por el Decreto nº 11.348/2023 [10] y la Ordenanza MJSP nº 688/2024.</w:t>
      </w:r>
    </w:p>
    <w:p w14:paraId="3FE22455" w14:textId="77777777" w:rsidR="002C1B58" w:rsidRPr="00B06F4F" w:rsidRDefault="002C1B58">
      <w:pPr>
        <w:pStyle w:val="SFPd"/>
        <w:rPr>
          <w:color w:val="000000"/>
          <w:lang w:val="pt-BR"/>
        </w:rPr>
      </w:pPr>
      <w:r w:rsidRPr="00B06F4F">
        <w:rPr>
          <w:color w:val="000000"/>
          <w:lang w:val="pt-BR"/>
        </w:rPr>
        <w:t xml:space="preserve">        </w:t>
      </w:r>
    </w:p>
    <w:p w14:paraId="6198A03A" w14:textId="77777777" w:rsidR="002C1B58" w:rsidRPr="00B06F4F" w:rsidRDefault="002C1B58">
      <w:pPr>
        <w:pStyle w:val="SFPd"/>
        <w:rPr>
          <w:color w:val="000000"/>
          <w:lang w:val="pt-BR"/>
        </w:rPr>
      </w:pPr>
      <w:r>
        <w:rPr>
          <w:color w:val="000000"/>
          <w:lang w:val="pt-BR"/>
        </w:rPr>
        <w:t>25. En los casos de solicitudes pasivas de cooperación, que tienen como objetivo la restitución de niños que se encuentran en Brasil, el procedimiento se puede resumir de la siguiente manera [11]:</w:t>
      </w:r>
    </w:p>
    <w:p w14:paraId="3747B89F" w14:textId="77777777" w:rsidR="002C1B58" w:rsidRPr="00B06F4F" w:rsidRDefault="002C1B58">
      <w:pPr>
        <w:pStyle w:val="SFPd"/>
        <w:rPr>
          <w:color w:val="000000"/>
          <w:lang w:val="pt-BR"/>
        </w:rPr>
      </w:pPr>
      <w:r w:rsidRPr="00B06F4F">
        <w:rPr>
          <w:color w:val="000000"/>
          <w:lang w:val="pt-BR"/>
        </w:rPr>
        <w:t xml:space="preserve">        </w:t>
      </w:r>
    </w:p>
    <w:p w14:paraId="558286A6" w14:textId="77777777" w:rsidR="002C1B58" w:rsidRPr="00B06F4F" w:rsidRDefault="002C1B58">
      <w:pPr>
        <w:pStyle w:val="SFCto"/>
        <w:rPr>
          <w:color w:val="000000"/>
          <w:lang w:val="pt-BR"/>
        </w:rPr>
      </w:pPr>
      <w:r>
        <w:rPr>
          <w:color w:val="000000"/>
          <w:lang w:val="pt-BR"/>
        </w:rPr>
        <w:t xml:space="preserve">(i) Análisis preliminar de la solicitud de ACAF: el progenitor que quedó sin el niño en el Estado de residencia habitual (progenitor que permaneció en el Estado de residencia habitual)[12] debe presentar una solicitud de retorno a la Autoridad Central de su país, que la remite a ACAF en Brasil, a través de cooperación internacional directa. Una vez recibida una solicitud de cooperación jurídica internacional, ACAF lleva a cabo un análisis riguroso para verificar si la solicitud cumple con los requisitos formales de la Convención[13]. Si no se cumplen los requisitos establecidos o si la Autoridad Central verifica la ausencia de motivos convencionales que justifiquen la solicitud de devolución, podrá rechazar el plan, de conformidad con el art. 27 de la Convención [14]. En este caso, no se iniciará el procedimiento administrativo o, si ya se hubiera iniciado, podrá archivarse[15]. </w:t>
      </w:r>
    </w:p>
    <w:p w14:paraId="0B7474CF" w14:textId="77777777" w:rsidR="002C1B58" w:rsidRPr="00B06F4F" w:rsidRDefault="002C1B58">
      <w:pPr>
        <w:pStyle w:val="SFCto"/>
        <w:rPr>
          <w:color w:val="000000"/>
          <w:lang w:val="pt-BR"/>
        </w:rPr>
      </w:pPr>
      <w:r>
        <w:rPr>
          <w:color w:val="000000"/>
          <w:lang w:val="pt-BR"/>
        </w:rPr>
        <w:t xml:space="preserve">(ii) Proceso administrativo: confirmada la admisibilidad y iniciado el procedimiento administrativo, ACAF iniciará los trámites para localizar al menor, pudiendo incluso llamar a Interpol para tal efecto. Una vez conocido el paradero del niño, se envía una comunicación al responsable del traslado o retención ilícita (padre sustractor), dándole la oportunidad de aportar aclaraciones y documentos. </w:t>
      </w:r>
    </w:p>
    <w:p w14:paraId="0DB1EF43" w14:textId="77777777" w:rsidR="002C1B58" w:rsidRPr="00B06F4F" w:rsidRDefault="002C1B58">
      <w:pPr>
        <w:pStyle w:val="SFCto"/>
        <w:rPr>
          <w:color w:val="000000"/>
          <w:lang w:val="pt-BR"/>
        </w:rPr>
      </w:pPr>
      <w:r>
        <w:rPr>
          <w:color w:val="000000"/>
          <w:lang w:val="pt-BR"/>
        </w:rPr>
        <w:t xml:space="preserve">(iii) Intentar mediación y acuerdos voluntarios: La </w:t>
      </w:r>
      <w:r>
        <w:rPr>
          <w:color w:val="000000"/>
          <w:lang w:val="pt-BR"/>
        </w:rPr>
        <w:lastRenderedPageBreak/>
        <w:t>Convención de La Haya fomenta la resolución amistosa de disputas siempre que sea posible. Así, en paralelo al análisis documental, ACAF establece contacto directo con la matriz demandada (taking parent), verificando la viabilidad de un acuerdo. Si una solución amistosa es viable, se lleva a cabo una mediación, con el apoyo de la autoridad central extranjera[16].</w:t>
      </w:r>
    </w:p>
    <w:p w14:paraId="7E348A71" w14:textId="77777777" w:rsidR="002C1B58" w:rsidRPr="00B06F4F" w:rsidRDefault="002C1B58">
      <w:pPr>
        <w:pStyle w:val="SFCto"/>
        <w:rPr>
          <w:color w:val="000000"/>
          <w:lang w:val="pt-BR"/>
        </w:rPr>
      </w:pPr>
      <w:r>
        <w:rPr>
          <w:color w:val="000000"/>
          <w:lang w:val="pt-BR"/>
        </w:rPr>
        <w:t>(iv) Remisión a AGU: no se llega a acuerdo, ACAF remite el caso a Abogacía General de la Unión (AGU), responsable de interponer la acción de devolución ante Justicia Federal[17]. En AGU, la solicitud de cooperación pasa por un nuevo análisis de requisitos, con especial atención al interés superior del niño.</w:t>
      </w:r>
    </w:p>
    <w:p w14:paraId="40B01E97" w14:textId="77777777" w:rsidR="002C1B58" w:rsidRPr="00B06F4F" w:rsidRDefault="002C1B58">
      <w:pPr>
        <w:pStyle w:val="SFCto"/>
        <w:rPr>
          <w:color w:val="000000"/>
          <w:lang w:val="pt-BR"/>
        </w:rPr>
      </w:pPr>
      <w:r>
        <w:rPr>
          <w:color w:val="000000"/>
          <w:lang w:val="pt-BR"/>
        </w:rPr>
        <w:t xml:space="preserve">(v) Proceso judicial: el proceso judicial se encuentra en trámite ante el Justicia Federal de primera instancia, siguiendo actualmente el rito y procedimientos ordinarios establecidos en la Resolución CNJ N° 449/2022, sobre la tramitación de acciones judiciales basadas en el Convenio de La Haya sobre los aspectos civiles de la sustracción internacional de menores (1980). </w:t>
      </w:r>
    </w:p>
    <w:p w14:paraId="3F926557" w14:textId="77777777" w:rsidR="002C1B58" w:rsidRPr="00B06F4F" w:rsidRDefault="002C1B58">
      <w:pPr>
        <w:pStyle w:val="SFPd"/>
        <w:rPr>
          <w:color w:val="000000"/>
          <w:lang w:val="pt-BR"/>
        </w:rPr>
      </w:pPr>
      <w:r w:rsidRPr="00B06F4F">
        <w:rPr>
          <w:color w:val="000000"/>
          <w:lang w:val="pt-BR"/>
        </w:rPr>
        <w:t xml:space="preserve">        </w:t>
      </w:r>
    </w:p>
    <w:p w14:paraId="6E469651" w14:textId="77777777" w:rsidR="002C1B58" w:rsidRPr="00B06F4F" w:rsidRDefault="002C1B58">
      <w:pPr>
        <w:pStyle w:val="SFPd"/>
        <w:rPr>
          <w:color w:val="000000"/>
          <w:lang w:val="pt-BR"/>
        </w:rPr>
      </w:pPr>
      <w:r>
        <w:rPr>
          <w:color w:val="000000"/>
          <w:lang w:val="pt-BR"/>
        </w:rPr>
        <w:t>26. En información proporcionada por Abogacía General de la Unión en el proceso, hasta marzo de 2025, estaban siendo tramitadas 219 solicitudes de cooperación jurídica internacional relacionadas con la sustracción internacional de niños, de las cuales 121 fueron pasivas – provenientes de Estados extranjeros que piden a Brasil la retorno de niños sacados ilegalmente de sus territorios (representando el 55% de los casos) y 98 activas – en las que Brasil aboga, ante otros países, por la restitución de niños llevados al extranjero sin la autorización de uno de los padres (que representa el 45% de los casos). En en cuanto a los casos judicializados por Abogacía General de la Unión, derivados de solicitudes pasivas de cooperación, se reportaron 127 procesos en trámite, todos archivados al 2018[18].</w:t>
      </w:r>
    </w:p>
    <w:p w14:paraId="250187DB" w14:textId="77777777" w:rsidR="002C1B58" w:rsidRPr="00B06F4F" w:rsidRDefault="002C1B58">
      <w:pPr>
        <w:pStyle w:val="SFPd"/>
        <w:rPr>
          <w:color w:val="000000"/>
          <w:lang w:val="pt-BR"/>
        </w:rPr>
      </w:pPr>
      <w:r w:rsidRPr="00B06F4F">
        <w:rPr>
          <w:color w:val="000000"/>
          <w:lang w:val="pt-BR"/>
        </w:rPr>
        <w:t xml:space="preserve">        </w:t>
      </w:r>
    </w:p>
    <w:p w14:paraId="46C59BB9" w14:textId="77777777" w:rsidR="002C1B58" w:rsidRPr="00B06F4F" w:rsidRDefault="002C1B58">
      <w:pPr>
        <w:pStyle w:val="SFPd"/>
        <w:rPr>
          <w:color w:val="000000"/>
          <w:lang w:val="pt-BR"/>
        </w:rPr>
      </w:pPr>
      <w:r>
        <w:rPr>
          <w:color w:val="000000"/>
          <w:lang w:val="pt-BR"/>
        </w:rPr>
        <w:t xml:space="preserve">27. Se informó que la duración promedio de los procedimientos judiciales relacionados con el Convenio de La Haya de 1980 ha variado significativamente dependiendo del tribunal federal y las peculiaridades de los casos específicos[19]. Se encontró un promedio de 282 días entre la presentación y la emisión de la sentencia, sin considerar la fase de ejecución. Considerando el lapso entre la demanda inicial y el cierre efectivo del proceso administrativo en ACAF, que puede ser resultado tanto del regreso efectivo del niño al país de residencia habitual como de la confirmación de la permanencia en Brasil por parte de autoridades superiores (TRF o STJ), incluso si aún está pendiente un recurso extraordinario ante el STF, el promedio es de 375 días. Sin embargo, se señaló que aún quedan casos pendientes de 2018, lo que refuerza la necesidad de medidas estructurales. </w:t>
      </w:r>
    </w:p>
    <w:p w14:paraId="25F3E6C5" w14:textId="77777777" w:rsidR="002C1B58" w:rsidRPr="00B06F4F" w:rsidRDefault="002C1B58">
      <w:pPr>
        <w:pStyle w:val="SFPd"/>
        <w:rPr>
          <w:color w:val="000000"/>
          <w:lang w:val="pt-BR"/>
        </w:rPr>
      </w:pPr>
      <w:r w:rsidRPr="00B06F4F">
        <w:rPr>
          <w:color w:val="000000"/>
          <w:lang w:val="pt-BR"/>
        </w:rPr>
        <w:t xml:space="preserve">        </w:t>
      </w:r>
    </w:p>
    <w:p w14:paraId="18E8CFE3" w14:textId="77777777" w:rsidR="002C1B58" w:rsidRPr="00B06F4F" w:rsidRDefault="002C1B58">
      <w:pPr>
        <w:pStyle w:val="SFPd"/>
        <w:rPr>
          <w:color w:val="000000"/>
          <w:lang w:val="pt-BR"/>
        </w:rPr>
      </w:pPr>
      <w:r>
        <w:rPr>
          <w:color w:val="000000"/>
          <w:lang w:val="pt-BR"/>
        </w:rPr>
        <w:t xml:space="preserve">28. Cabe señalar, sin embargo, que la lentitud de los procedimientos </w:t>
      </w:r>
      <w:r>
        <w:rPr>
          <w:color w:val="000000"/>
          <w:lang w:val="pt-BR"/>
        </w:rPr>
        <w:lastRenderedPageBreak/>
        <w:t>judiciales en Brasil es un problema estructural, que no se limita a los casos del Convenio de La Haya. El sistema procesal brasileño tiene una estructura procesal y de apelación compleja que, si bien está diseñada para garantizar una defensa amplia y el debido proceso legal, ha resultado en una provisión judicial lenta, especialmente debido a la alta demanda judicial. Para que te hagas una idea, actualmente tenemos casi 80 millones de casos pendientes. En el contexto de las acciones directas que actualmente se juzgan, esta realidad requiere especial cautela. El Convenio de La Haya de 1980 establece plazos rápidos para examinar las solicitudes de restitución, consciente de que, para el niño, el tiempo corre a otra velocidad. Sin embargo, la experiencia brasileña demuestra que, sin una debida gestión procesal y una priorización efectiva de estos casos, las órdenes de restitución pueden emitirse años después de la sustracción, cuando la realidad fáctica y los vínculos afectivos del niño ya han cambiado sustancialmente. Esto es especialmente grave en casos que involucran a niños, ya que la lentitud en la resolución del caso empeora el impacto emocional y social de la controversia.</w:t>
      </w:r>
    </w:p>
    <w:p w14:paraId="367BF369" w14:textId="77777777" w:rsidR="002C1B58" w:rsidRPr="00B06F4F" w:rsidRDefault="002C1B58">
      <w:pPr>
        <w:pStyle w:val="SFPd"/>
        <w:rPr>
          <w:color w:val="000000"/>
          <w:lang w:val="pt-BR"/>
        </w:rPr>
      </w:pPr>
      <w:r w:rsidRPr="00B06F4F">
        <w:rPr>
          <w:color w:val="000000"/>
          <w:lang w:val="pt-BR"/>
        </w:rPr>
        <w:t xml:space="preserve">        </w:t>
      </w:r>
    </w:p>
    <w:p w14:paraId="4C35C29C" w14:textId="77777777" w:rsidR="002C1B58" w:rsidRPr="00B06F4F" w:rsidRDefault="002C1B58">
      <w:pPr>
        <w:pStyle w:val="SFPd"/>
        <w:rPr>
          <w:color w:val="000000"/>
          <w:lang w:val="pt-BR"/>
        </w:rPr>
      </w:pPr>
      <w:r>
        <w:rPr>
          <w:color w:val="000000"/>
          <w:lang w:val="pt-BR"/>
        </w:rPr>
        <w:t xml:space="preserve">29. Si bien existe una tendencia reciente hacia la reducción del tiempo promedio de procesamiento de los casos relacionados con la aplicación de la Convención, las cifras resaltan la persistencia de desafíos para que Brasil cumpla plenamente el plazo de seis semanas (42 días) establecido en el artículo 11 de la Convención, lo que refuerza la importancia de medidas estructurales encaminadas a acelerar, especializar y estandarizar la respuesta judicial en estos casos sensibles. </w:t>
      </w:r>
    </w:p>
    <w:p w14:paraId="4577AEBE" w14:textId="77777777" w:rsidR="002C1B58" w:rsidRPr="00B06F4F" w:rsidRDefault="002C1B58">
      <w:pPr>
        <w:pStyle w:val="SFPd"/>
        <w:rPr>
          <w:color w:val="000000"/>
          <w:lang w:val="pt-BR"/>
        </w:rPr>
      </w:pPr>
      <w:r w:rsidRPr="00B06F4F">
        <w:rPr>
          <w:color w:val="000000"/>
          <w:lang w:val="pt-BR"/>
        </w:rPr>
        <w:t xml:space="preserve">        </w:t>
      </w:r>
    </w:p>
    <w:p w14:paraId="1B778139" w14:textId="77777777" w:rsidR="002C1B58" w:rsidRPr="00B06F4F" w:rsidRDefault="002C1B58">
      <w:pPr>
        <w:pStyle w:val="SFPd"/>
        <w:rPr>
          <w:color w:val="000000"/>
          <w:lang w:val="pt-BR"/>
        </w:rPr>
      </w:pPr>
      <w:r>
        <w:rPr>
          <w:color w:val="000000"/>
          <w:lang w:val="pt-BR"/>
        </w:rPr>
        <w:t xml:space="preserve">30. En este contexto, Brasil ha sido a menudo percibido internacionalmente como un mal cumplidor del Convenio de La Haya de 1980, especialmente debido a la demora en la localización del niño y el retraso excesivo en la emisión y ejecución de decisiones definitivas sobre el regreso al país de residencia habitual. En respuesta al caso Sean Goldman, que sólo fue devuelto por Brasil después de 5 años, Estados Unidos aprobó la Ley nº 113-150, de 2014, sobre prevención y retorno de niños secuestrados internacionalmente, que crea un marco legal y diplomático para monitorear y responder a estos casos. </w:t>
      </w:r>
    </w:p>
    <w:p w14:paraId="52A52526" w14:textId="77777777" w:rsidR="002C1B58" w:rsidRPr="00B06F4F" w:rsidRDefault="002C1B58">
      <w:pPr>
        <w:pStyle w:val="SFPd"/>
        <w:rPr>
          <w:color w:val="000000"/>
          <w:lang w:val="pt-BR"/>
        </w:rPr>
      </w:pPr>
      <w:r w:rsidRPr="00B06F4F">
        <w:rPr>
          <w:color w:val="000000"/>
          <w:lang w:val="pt-BR"/>
        </w:rPr>
        <w:t xml:space="preserve">        </w:t>
      </w:r>
    </w:p>
    <w:p w14:paraId="248EFA8C" w14:textId="77777777" w:rsidR="002C1B58" w:rsidRPr="00B06F4F" w:rsidRDefault="002C1B58">
      <w:pPr>
        <w:pStyle w:val="SFPd"/>
        <w:rPr>
          <w:color w:val="000000"/>
          <w:lang w:val="pt-BR"/>
        </w:rPr>
      </w:pPr>
      <w:r>
        <w:rPr>
          <w:color w:val="000000"/>
          <w:lang w:val="pt-BR"/>
        </w:rPr>
        <w:t xml:space="preserve">31. Cada año, el Departamento de Estado de Estados Unidos prepara y entrega al Congreso de ese país el llamado Informe Anual sobre Sustracción Internacional de Menores. En el informe de 2025, Brasil apareció por vigésimo año consecutivo (2006-2025) entre los países con un patrón repetido de incumplimiento de la Convención[20]. Se destacó que “las autoridades judiciales brasileñas no implementaron ni cumplieron regularmente las disposiciones de la Convención”[21]. El informe señaló que el 37% de los casos de secuestro internacional entre Estados Unidos y Brasil </w:t>
      </w:r>
      <w:r>
        <w:rPr>
          <w:color w:val="000000"/>
          <w:lang w:val="pt-BR"/>
        </w:rPr>
        <w:lastRenderedPageBreak/>
        <w:t xml:space="preserve">permanecían pendientes durante más de 12 meses y que, en promedio, estos casos demoraban 3 años y 9 meses. Entre los problemas destacados, el informe destacó retrasos de la Autoridad Central en la aceptación de casos, retrasos en la localización de niños y retrasos graves y persistentes en la tramitación de acciones judiciales, además de una falta de uniformidad en la aplicación del Convenio por parte de los tribunales. </w:t>
      </w:r>
    </w:p>
    <w:p w14:paraId="1C2E9B3D" w14:textId="77777777" w:rsidR="002C1B58" w:rsidRPr="00B06F4F" w:rsidRDefault="002C1B58">
      <w:pPr>
        <w:pStyle w:val="SFPd"/>
        <w:rPr>
          <w:color w:val="000000"/>
          <w:lang w:val="pt-BR"/>
        </w:rPr>
      </w:pPr>
      <w:r w:rsidRPr="00B06F4F">
        <w:rPr>
          <w:color w:val="000000"/>
          <w:lang w:val="pt-BR"/>
        </w:rPr>
        <w:t xml:space="preserve">        </w:t>
      </w:r>
    </w:p>
    <w:p w14:paraId="4306267C" w14:textId="77777777" w:rsidR="002C1B58" w:rsidRPr="00B06F4F" w:rsidRDefault="002C1B58">
      <w:pPr>
        <w:pStyle w:val="SFPd"/>
        <w:rPr>
          <w:color w:val="000000"/>
          <w:lang w:val="pt-BR"/>
        </w:rPr>
      </w:pPr>
      <w:r>
        <w:rPr>
          <w:color w:val="000000"/>
          <w:lang w:val="pt-BR"/>
        </w:rPr>
        <w:t>32. El problema de la falta de rapidez en la tramitación de las solicitudes en virtud del Convenio de La Haya de 1980 es central. Además del daño a la imagen del Estado brasileño ante la comunidad internacional, no se puede descartar el riesgo de que las solicitudes activas realizadas por Brasil vean su tramitación obstaculizada por una falta de reciprocidad en la aplicación de la Convención, dificultando el regreso de niños brasileños o de otras nacionalidades expulsados ​​ilegalmente del territorio nacional. Tampoco debe descartarse la posibilidad de responsabilidad internacional.</w:t>
      </w:r>
    </w:p>
    <w:p w14:paraId="5DFF4D25" w14:textId="77777777" w:rsidR="002C1B58" w:rsidRPr="00B06F4F" w:rsidRDefault="002C1B58">
      <w:pPr>
        <w:pStyle w:val="SFPd"/>
        <w:rPr>
          <w:color w:val="000000"/>
          <w:lang w:val="pt-BR"/>
        </w:rPr>
      </w:pPr>
      <w:r w:rsidRPr="00B06F4F">
        <w:rPr>
          <w:color w:val="000000"/>
          <w:lang w:val="pt-BR"/>
        </w:rPr>
        <w:t xml:space="preserve">        </w:t>
      </w:r>
    </w:p>
    <w:p w14:paraId="263F6613" w14:textId="77777777" w:rsidR="002C1B58" w:rsidRPr="00B06F4F" w:rsidRDefault="002C1B58">
      <w:pPr>
        <w:pStyle w:val="SFPd"/>
        <w:rPr>
          <w:color w:val="000000"/>
          <w:lang w:val="pt-BR"/>
        </w:rPr>
      </w:pPr>
      <w:r>
        <w:rPr>
          <w:color w:val="000000"/>
          <w:lang w:val="pt-BR"/>
        </w:rPr>
        <w:t>33. Como puede verse, el sistema convencional funciona como una vía de doble sentido: Brasil actúa como Estado demandado y como Estado requirente, lo que refuerza la importancia de la reciprocidad, la previsibilidad y el cumplimiento diligente de los compromisos asumidos, so pena de comprometer la eficacia de las solicitudes activas y la credibilidad internacional del país en el campo de la protección de la infancia en un contexto transnacional.</w:t>
      </w:r>
    </w:p>
    <w:p w14:paraId="693BB460" w14:textId="77777777" w:rsidR="002C1B58" w:rsidRPr="00B06F4F" w:rsidRDefault="002C1B58">
      <w:pPr>
        <w:pStyle w:val="SFPd"/>
        <w:rPr>
          <w:color w:val="000000"/>
          <w:lang w:val="pt-BR"/>
        </w:rPr>
      </w:pPr>
      <w:r w:rsidRPr="00B06F4F">
        <w:rPr>
          <w:color w:val="000000"/>
          <w:lang w:val="pt-BR"/>
        </w:rPr>
        <w:t xml:space="preserve">        </w:t>
      </w:r>
    </w:p>
    <w:p w14:paraId="3283C009" w14:textId="77777777" w:rsidR="002C1B58" w:rsidRPr="00B06F4F" w:rsidRDefault="002C1B58">
      <w:pPr>
        <w:pStyle w:val="SFPd"/>
        <w:rPr>
          <w:color w:val="000000"/>
          <w:lang w:val="pt-BR"/>
        </w:rPr>
      </w:pPr>
      <w:r>
        <w:rPr>
          <w:b/>
          <w:bCs/>
          <w:color w:val="000000"/>
          <w:lang w:val="pt-BR"/>
        </w:rPr>
        <w:t>c) El nuevo contexto de aplicación del Convenio de La Haya de 1980</w:t>
      </w:r>
    </w:p>
    <w:p w14:paraId="036AE819" w14:textId="77777777" w:rsidR="002C1B58" w:rsidRPr="00B06F4F" w:rsidRDefault="002C1B58">
      <w:pPr>
        <w:pStyle w:val="SFPd"/>
        <w:rPr>
          <w:color w:val="000000"/>
          <w:lang w:val="pt-BR"/>
        </w:rPr>
      </w:pPr>
      <w:r w:rsidRPr="00B06F4F">
        <w:rPr>
          <w:color w:val="000000"/>
          <w:lang w:val="pt-BR"/>
        </w:rPr>
        <w:t xml:space="preserve">        </w:t>
      </w:r>
    </w:p>
    <w:p w14:paraId="3756BDDB" w14:textId="77777777" w:rsidR="002C1B58" w:rsidRPr="00B06F4F" w:rsidRDefault="002C1B58">
      <w:pPr>
        <w:pStyle w:val="SFPd"/>
        <w:rPr>
          <w:color w:val="000000"/>
          <w:lang w:val="pt-BR"/>
        </w:rPr>
      </w:pPr>
      <w:r>
        <w:rPr>
          <w:color w:val="000000"/>
          <w:lang w:val="pt-BR"/>
        </w:rPr>
        <w:t>34. Aunque la Convención se basa en una lógica de rapidez y urgencia en la restitución de niños, la práctica ha demostrado importantes desafíos con respecto al “retorno inmediato”, con un importante cambio de contexto que debe considerarse al interpretar los casos de sustracción internacional de niños. La Convención de La Haya data de 1980 y los debates que llevaron a su elaboración se remontan a finales de los años 1970. En su momento, los mecanismos de la Convención se diseñaron en un contexto en el que las sustracciones internacionales tenían al progenitor sustractor, en su gran mayoría varones, quienes, al no tener derechos de custodia, se llevaban a los niños a un país desconocido, distinto de su residencia habitual, lejos de sus madres. Así, el retorno inmediato funcionó también como un instrumento de protección para la mujer, para que el niño pudiera regresar rápidamente con su familia[22].</w:t>
      </w:r>
    </w:p>
    <w:p w14:paraId="15BE4BEF" w14:textId="77777777" w:rsidR="002C1B58" w:rsidRPr="00B06F4F" w:rsidRDefault="002C1B58">
      <w:pPr>
        <w:pStyle w:val="SFPd"/>
        <w:rPr>
          <w:color w:val="000000"/>
          <w:lang w:val="pt-BR"/>
        </w:rPr>
      </w:pPr>
      <w:r w:rsidRPr="00B06F4F">
        <w:rPr>
          <w:color w:val="000000"/>
          <w:lang w:val="pt-BR"/>
        </w:rPr>
        <w:t xml:space="preserve">        </w:t>
      </w:r>
    </w:p>
    <w:p w14:paraId="4073CD57" w14:textId="77777777" w:rsidR="002C1B58" w:rsidRPr="00B06F4F" w:rsidRDefault="002C1B58">
      <w:pPr>
        <w:pStyle w:val="SFPd"/>
        <w:rPr>
          <w:color w:val="000000"/>
          <w:lang w:val="pt-BR"/>
        </w:rPr>
      </w:pPr>
      <w:r>
        <w:rPr>
          <w:color w:val="000000"/>
          <w:lang w:val="pt-BR"/>
        </w:rPr>
        <w:t xml:space="preserve">35. Transcurridas aproximadamente cuatro décadas, la realidad ha resultado distinta en un contexto de globalización de las relaciones familiares, con un aumento significativo de las familias transnacionales, acompañado por </w:t>
      </w:r>
      <w:r>
        <w:rPr>
          <w:color w:val="000000"/>
          <w:lang w:val="pt-BR"/>
        </w:rPr>
        <w:lastRenderedPageBreak/>
        <w:t>el crecimiento de la movilidad humana y la digitalización de las interacciones. Actualmente, una gran parte de los denominados “progenitores sustractores” (taking parents) son mujeres y cuidadoras principales, con derecho de custodia exclusiva o compartida. En su mayoría se trata de mujeres migrantes que regresan con el niño a su país de origen, muchas veces con el propósito de alejarse de situaciones de abandono, abuso y violencia doméstica[23]. El agresor, que permanece en el “país de residencia habitual”, presenta entonces una solicitud basada en el Convenio de La Haya para requerir el retorno inmediato del niño[24]. Según datos de 2020 reunidos en un informe presentado al Parlamento Europeo, las madres son el “progenitor sustractor” (taking parent) en el 73% de los casos y, en el 91% de las situaciones, son titulares del derecho de custodia exclusiva o compartida[25]. En el 58% de los casos, los progenitores sustractores llevan a sus hijos a un país del que son nacionales[26].</w:t>
      </w:r>
    </w:p>
    <w:p w14:paraId="35996151" w14:textId="77777777" w:rsidR="002C1B58" w:rsidRPr="00B06F4F" w:rsidRDefault="002C1B58">
      <w:pPr>
        <w:pStyle w:val="SFPd"/>
        <w:rPr>
          <w:color w:val="000000"/>
          <w:lang w:val="pt-BR"/>
        </w:rPr>
      </w:pPr>
      <w:r w:rsidRPr="00B06F4F">
        <w:rPr>
          <w:color w:val="000000"/>
          <w:lang w:val="pt-BR"/>
        </w:rPr>
        <w:t xml:space="preserve">        </w:t>
      </w:r>
    </w:p>
    <w:p w14:paraId="58372AAE" w14:textId="77777777" w:rsidR="002C1B58" w:rsidRPr="00B06F4F" w:rsidRDefault="002C1B58">
      <w:pPr>
        <w:pStyle w:val="SFPd"/>
        <w:rPr>
          <w:color w:val="000000"/>
          <w:lang w:val="pt-BR"/>
        </w:rPr>
      </w:pPr>
      <w:r>
        <w:rPr>
          <w:color w:val="000000"/>
          <w:lang w:val="pt-BR"/>
        </w:rPr>
        <w:t>36. Además, como se verá más adelante, la comprensión de los derechos del niño ha experimentado cambios significativos desde 1980, con una comprensión actualizada de lo que significa proteger el interés superior del niño, a la luz de importantes documentos internacionales sobre el tema.</w:t>
      </w:r>
    </w:p>
    <w:p w14:paraId="576D2F46" w14:textId="77777777" w:rsidR="002C1B58" w:rsidRPr="00B06F4F" w:rsidRDefault="002C1B58">
      <w:pPr>
        <w:pStyle w:val="SFPd"/>
        <w:rPr>
          <w:color w:val="000000"/>
          <w:lang w:val="pt-BR"/>
        </w:rPr>
      </w:pPr>
      <w:r w:rsidRPr="00B06F4F">
        <w:rPr>
          <w:color w:val="000000"/>
          <w:lang w:val="pt-BR"/>
        </w:rPr>
        <w:t xml:space="preserve">        </w:t>
      </w:r>
    </w:p>
    <w:p w14:paraId="12BB7702" w14:textId="77777777" w:rsidR="002C1B58" w:rsidRPr="00B06F4F" w:rsidRDefault="002C1B58">
      <w:pPr>
        <w:pStyle w:val="SFPd"/>
        <w:rPr>
          <w:color w:val="000000"/>
          <w:lang w:val="pt-BR"/>
        </w:rPr>
      </w:pPr>
      <w:r>
        <w:rPr>
          <w:color w:val="000000"/>
          <w:lang w:val="pt-BR"/>
        </w:rPr>
        <w:t>37. Ante esta nueva realidad, la lectura de la Convención de La Haya de 1980 no puede separarse de los parámetros constitucionales brasileños y de los compromisos internacionales asumidos por el país en materia de protección de niños y mujeres. La aplicación mecanicista del texto convencional sin considerar las circunstancias del caso específico puede dar lugar a graves injusticias. Como se verá, no se trata de desconstituir los objetivos de la Convención, sino de reconocer que su adecuación al momento histórico actual requiere que el Poder Judicial analice el contexto de la sustracción desde la perspectiva de la protección integral del niño.</w:t>
      </w:r>
    </w:p>
    <w:p w14:paraId="3CD154C1" w14:textId="77777777" w:rsidR="002C1B58" w:rsidRPr="00B06F4F" w:rsidRDefault="002C1B58">
      <w:pPr>
        <w:pStyle w:val="SFPd"/>
        <w:rPr>
          <w:color w:val="000000"/>
          <w:lang w:val="pt-BR"/>
        </w:rPr>
      </w:pPr>
      <w:r w:rsidRPr="00B06F4F">
        <w:rPr>
          <w:color w:val="000000"/>
          <w:lang w:val="pt-BR"/>
        </w:rPr>
        <w:t xml:space="preserve">        </w:t>
      </w:r>
    </w:p>
    <w:p w14:paraId="45AD3F76" w14:textId="77777777" w:rsidR="002C1B58" w:rsidRPr="00B06F4F" w:rsidRDefault="002C1B58">
      <w:pPr>
        <w:pStyle w:val="SFPd"/>
        <w:rPr>
          <w:color w:val="000000"/>
          <w:lang w:val="pt-BR"/>
        </w:rPr>
      </w:pPr>
      <w:r>
        <w:rPr>
          <w:smallCaps/>
          <w:color w:val="000000"/>
          <w:lang w:val="pt-BR"/>
        </w:rPr>
        <w:t xml:space="preserve">I.2. El Convenio de La Haya de 1980 y la protección del interés superior del niño </w:t>
      </w:r>
    </w:p>
    <w:p w14:paraId="2268796C" w14:textId="77777777" w:rsidR="002C1B58" w:rsidRPr="00B06F4F" w:rsidRDefault="002C1B58">
      <w:pPr>
        <w:pStyle w:val="SFPd"/>
        <w:rPr>
          <w:color w:val="000000"/>
          <w:lang w:val="pt-BR"/>
        </w:rPr>
      </w:pPr>
      <w:r w:rsidRPr="00B06F4F">
        <w:rPr>
          <w:color w:val="000000"/>
          <w:lang w:val="pt-BR"/>
        </w:rPr>
        <w:t xml:space="preserve">        </w:t>
      </w:r>
    </w:p>
    <w:p w14:paraId="1D06D8C3" w14:textId="77777777" w:rsidR="002C1B58" w:rsidRPr="00B06F4F" w:rsidRDefault="002C1B58">
      <w:pPr>
        <w:pStyle w:val="SFPd"/>
        <w:rPr>
          <w:color w:val="000000"/>
          <w:lang w:val="pt-BR"/>
        </w:rPr>
      </w:pPr>
      <w:r>
        <w:rPr>
          <w:color w:val="000000"/>
          <w:lang w:val="pt-BR"/>
        </w:rPr>
        <w:t xml:space="preserve">38. El Convenio de La Haya de 1980, internalizado en Brasil mediante el Decreto Presidencial n° 3.413/2000, implementa los compromisos de protección de la infancia asumidos por el país a nivel internacional, en particular los previstos en el art. 11 de la Convención de las Naciones Unidas sobre los Derechos del Niño, promulgada por Decreto N° 99.710/1990, que establece la obligación de los Estados signatarios de adoptar medidas apropiadas para prevenir y combatir el traslado ilegal de niños al extranjero[27]. En este sentido, al establecer reglas para la rápida resolución de conflictos que involucran sustracción internacional de niños, la Convención constituye un instrumento para proteger la dignidad, la libertad </w:t>
      </w:r>
      <w:r>
        <w:rPr>
          <w:color w:val="000000"/>
          <w:lang w:val="pt-BR"/>
        </w:rPr>
        <w:lastRenderedPageBreak/>
        <w:t>y la convivencia familiar y comunitaria.</w:t>
      </w:r>
    </w:p>
    <w:p w14:paraId="2AB670FB" w14:textId="77777777" w:rsidR="002C1B58" w:rsidRPr="00B06F4F" w:rsidRDefault="002C1B58">
      <w:pPr>
        <w:pStyle w:val="SFPd"/>
        <w:rPr>
          <w:color w:val="000000"/>
          <w:lang w:val="pt-BR"/>
        </w:rPr>
      </w:pPr>
      <w:r w:rsidRPr="00B06F4F">
        <w:rPr>
          <w:color w:val="000000"/>
          <w:lang w:val="pt-BR"/>
        </w:rPr>
        <w:t xml:space="preserve">        </w:t>
      </w:r>
    </w:p>
    <w:p w14:paraId="3419133E" w14:textId="77777777" w:rsidR="002C1B58" w:rsidRPr="00B06F4F" w:rsidRDefault="002C1B58">
      <w:pPr>
        <w:pStyle w:val="SFPd"/>
        <w:rPr>
          <w:color w:val="000000"/>
          <w:lang w:val="pt-BR"/>
        </w:rPr>
      </w:pPr>
      <w:r>
        <w:rPr>
          <w:color w:val="000000"/>
          <w:lang w:val="pt-BR"/>
        </w:rPr>
        <w:t xml:space="preserve">39. En el preámbulo de la Convención, la preocupación de los Estados firmantes por el bienestar de los niños es clara: “firmemente convencidos de que el interés del niño es de primordial importancia en todas las cuestiones relativas a su custodia”; “deseando proteger al niño, a nivel internacional, de los efectos nocivos resultantes de un cambio de domicilio o de retención ilícita y establecer procedimientos que garanticen el retorno inmediato del niño al Estado de su residencia habitual, así como asegurar la protección del derecho de visita”. </w:t>
      </w:r>
    </w:p>
    <w:p w14:paraId="410404FE" w14:textId="77777777" w:rsidR="002C1B58" w:rsidRPr="00B06F4F" w:rsidRDefault="002C1B58">
      <w:pPr>
        <w:pStyle w:val="SFPd"/>
        <w:rPr>
          <w:color w:val="000000"/>
          <w:lang w:val="pt-BR"/>
        </w:rPr>
      </w:pPr>
      <w:r w:rsidRPr="00B06F4F">
        <w:rPr>
          <w:color w:val="000000"/>
          <w:shd w:val="clear" w:color="auto" w:fill="FFFFFF"/>
          <w:lang w:val="pt-BR"/>
        </w:rPr>
        <w:t xml:space="preserve">        </w:t>
      </w:r>
    </w:p>
    <w:p w14:paraId="52406B73" w14:textId="77777777" w:rsidR="002C1B58" w:rsidRPr="00B06F4F" w:rsidRDefault="002C1B58">
      <w:pPr>
        <w:pStyle w:val="SFPd"/>
        <w:rPr>
          <w:color w:val="000000"/>
          <w:lang w:val="pt-BR"/>
        </w:rPr>
      </w:pPr>
      <w:r>
        <w:rPr>
          <w:color w:val="000000"/>
          <w:lang w:val="pt-BR"/>
        </w:rPr>
        <w:t xml:space="preserve">40. Además, el Convenio de La Haya de 1980 debe entenderse como parte de un sistema más amplio de protección internacional de la infancia. Si bien Brasil ha internalizado el Convenio de La Haya de 1980 y el Convenio relativo a la protección de los niños y a la cooperación en materia de adopción internacional (Decreto nº 3.087/1999), sin embargo no ha internalizado el tercer pilar del sistema internacional de protección de los niños de la Conferencia de La Haya, a saber, el Convenio de La Haya de 1996, conocido como Convenio de Protección de los Niños de 1996, relativo a la jurisdicción, la ley aplicable, el reconocimiento, la aplicación y la cooperación en materia de responsabilidad parental y medidas de protección de los niños. Este tratado constituye un importante complemento al Convenio de La Haya de 1980 y desempeña un importante papel posterior a la restitución del niño, fortaleciendo la cooperación internacional y permitiendo la adopción de medidas positivas para la reunificación de los vínculos entre padres e hijos. </w:t>
      </w:r>
    </w:p>
    <w:p w14:paraId="0C66F931" w14:textId="77777777" w:rsidR="002C1B58" w:rsidRPr="00B06F4F" w:rsidRDefault="002C1B58">
      <w:pPr>
        <w:pStyle w:val="SFPd"/>
        <w:rPr>
          <w:color w:val="000000"/>
          <w:lang w:val="pt-BR"/>
        </w:rPr>
      </w:pPr>
      <w:r w:rsidRPr="00B06F4F">
        <w:rPr>
          <w:color w:val="000000"/>
          <w:lang w:val="pt-BR"/>
        </w:rPr>
        <w:t xml:space="preserve">        </w:t>
      </w:r>
    </w:p>
    <w:p w14:paraId="65727B2E" w14:textId="77777777" w:rsidR="002C1B58" w:rsidRPr="00B06F4F" w:rsidRDefault="002C1B58">
      <w:pPr>
        <w:pStyle w:val="SFPd"/>
        <w:rPr>
          <w:color w:val="000000"/>
          <w:lang w:val="pt-BR"/>
        </w:rPr>
      </w:pPr>
      <w:r>
        <w:rPr>
          <w:color w:val="000000"/>
          <w:lang w:val="pt-BR"/>
        </w:rPr>
        <w:t>41. Por lo tanto, es cierto que la Convención de La Haya de 1980, con rango supralegal, debe ser aplicada en el país de conformidad con otros compromisos internacionales de protección de la niñez y con lo dispuesto en la Constitución de 1988, asegurando que la cooperación jurídica internacional esté alineada con el sistema de protección de la niñez y la adolescencia, para permitir el logro del objetivo primordial del tratado.</w:t>
      </w:r>
    </w:p>
    <w:p w14:paraId="73EC7E42" w14:textId="77777777" w:rsidR="002C1B58" w:rsidRPr="00B06F4F" w:rsidRDefault="002C1B58">
      <w:pPr>
        <w:pStyle w:val="SFPd"/>
        <w:rPr>
          <w:color w:val="000000"/>
          <w:lang w:val="pt-BR"/>
        </w:rPr>
      </w:pPr>
      <w:r w:rsidRPr="00B06F4F">
        <w:rPr>
          <w:color w:val="000000"/>
          <w:lang w:val="pt-BR"/>
        </w:rPr>
        <w:t xml:space="preserve">        </w:t>
      </w:r>
    </w:p>
    <w:p w14:paraId="52B48F0E" w14:textId="77777777" w:rsidR="002C1B58" w:rsidRPr="00B06F4F" w:rsidRDefault="002C1B58">
      <w:pPr>
        <w:pStyle w:val="SFPd"/>
        <w:rPr>
          <w:color w:val="000000"/>
          <w:lang w:val="pt-BR"/>
        </w:rPr>
      </w:pPr>
      <w:r>
        <w:rPr>
          <w:color w:val="000000"/>
          <w:lang w:val="pt-BR"/>
        </w:rPr>
        <w:t xml:space="preserve">42. El principio del interés superior del niño está consolidado en varios instrumentos internacionales, como la Convención de las Naciones Unidas sobre los Derechos del Niño (artículo 3) y la Convención Americana sobre Derechos Humanos (artículo 19), además de encontrar una disposición expresa en el artículo 227 de la Constitución Federal brasileña. </w:t>
      </w:r>
    </w:p>
    <w:p w14:paraId="73E0E745" w14:textId="77777777" w:rsidR="002C1B58" w:rsidRPr="00B06F4F" w:rsidRDefault="002C1B58">
      <w:pPr>
        <w:pStyle w:val="SFPd"/>
        <w:rPr>
          <w:color w:val="000000"/>
          <w:lang w:val="pt-BR"/>
        </w:rPr>
      </w:pPr>
      <w:r w:rsidRPr="00B06F4F">
        <w:rPr>
          <w:color w:val="000000"/>
          <w:lang w:val="pt-BR"/>
        </w:rPr>
        <w:t xml:space="preserve">        </w:t>
      </w:r>
    </w:p>
    <w:p w14:paraId="16154472" w14:textId="77777777" w:rsidR="002C1B58" w:rsidRPr="00B06F4F" w:rsidRDefault="002C1B58">
      <w:pPr>
        <w:pStyle w:val="SFPd"/>
        <w:rPr>
          <w:color w:val="000000"/>
          <w:lang w:val="pt-BR"/>
        </w:rPr>
      </w:pPr>
      <w:r>
        <w:rPr>
          <w:color w:val="000000"/>
          <w:lang w:val="pt-BR"/>
        </w:rPr>
        <w:t xml:space="preserve">43. A nivel internacional destaca el artículo 3, inciso 1, de la Convención de las Naciones Unidas sobre los Derechos del Niño, que establece que “todas las acciones relativas a los niños, realizadas por instituciones públicas o privadas de bienestar social, tribunales, autoridades administrativas o </w:t>
      </w:r>
      <w:r>
        <w:rPr>
          <w:color w:val="000000"/>
          <w:lang w:val="pt-BR"/>
        </w:rPr>
        <w:lastRenderedPageBreak/>
        <w:t>órganos legislativos, deben considerar, principalmente, el interés superior del niño”. Este mandamiento internacional, promulgado en Brasil por el Decreto nº 99.710/1990, obliga al Poder Judicial en la interpretación y aplicación de normas que afectan a los menores.</w:t>
      </w:r>
    </w:p>
    <w:p w14:paraId="48EF7EFD" w14:textId="77777777" w:rsidR="002C1B58" w:rsidRPr="00B06F4F" w:rsidRDefault="002C1B58">
      <w:pPr>
        <w:pStyle w:val="SFPd"/>
        <w:rPr>
          <w:color w:val="000000"/>
          <w:lang w:val="pt-BR"/>
        </w:rPr>
      </w:pPr>
      <w:r w:rsidRPr="00B06F4F">
        <w:rPr>
          <w:color w:val="000000"/>
          <w:lang w:val="pt-BR"/>
        </w:rPr>
        <w:t xml:space="preserve">        </w:t>
      </w:r>
    </w:p>
    <w:p w14:paraId="26E784E1" w14:textId="77777777" w:rsidR="002C1B58" w:rsidRPr="00B06F4F" w:rsidRDefault="002C1B58">
      <w:pPr>
        <w:pStyle w:val="SFPd"/>
        <w:rPr>
          <w:color w:val="000000"/>
          <w:lang w:val="pt-BR"/>
        </w:rPr>
      </w:pPr>
      <w:r>
        <w:rPr>
          <w:color w:val="000000"/>
          <w:lang w:val="pt-BR"/>
        </w:rPr>
        <w:t>44. En el ámbito interno, la Constitución de 1988 estableció, en su artículo 227 [28], un deber impuesto a la familia, a la sociedad y al Estado: garantizar, con absoluta prioridad, los derechos fundamentales de los niños, niñas y adolescentes, protegiéndolos contra cualquier forma de abandono, discriminación, explotación, violencia, crueldad y opresión. Este lineamiento transformador inspiró la redacción del Estatuto del Niño y del Adolescente (ECA), que reafirma la protección plena como principio central e impone al Estado no sólo la represión de los abusos, sino la obligación activa de garantizar el pleno desarrollo de los niños.</w:t>
      </w:r>
    </w:p>
    <w:p w14:paraId="1AE184D5" w14:textId="77777777" w:rsidR="002C1B58" w:rsidRPr="00B06F4F" w:rsidRDefault="002C1B58">
      <w:pPr>
        <w:pStyle w:val="SFPd"/>
        <w:rPr>
          <w:color w:val="000000"/>
          <w:lang w:val="pt-BR"/>
        </w:rPr>
      </w:pPr>
      <w:r w:rsidRPr="00B06F4F">
        <w:rPr>
          <w:color w:val="000000"/>
          <w:lang w:val="pt-BR"/>
        </w:rPr>
        <w:t xml:space="preserve">        </w:t>
      </w:r>
    </w:p>
    <w:p w14:paraId="58B191BB" w14:textId="77777777" w:rsidR="002C1B58" w:rsidRPr="00B06F4F" w:rsidRDefault="002C1B58">
      <w:pPr>
        <w:pStyle w:val="SFPd"/>
        <w:rPr>
          <w:color w:val="000000"/>
          <w:lang w:val="pt-BR"/>
        </w:rPr>
      </w:pPr>
      <w:r>
        <w:rPr>
          <w:color w:val="000000"/>
          <w:lang w:val="pt-BR"/>
        </w:rPr>
        <w:t xml:space="preserve">45. Con base en la Observación General No. 14 del Comité de la ONU, se entiende que el principio del interés superior del niño tiene tres dimensiones: constituye un derecho sustantivo, un principio interpretativo y una norma procesal. Se trata, en primer lugar, de un derecho sustantivo del niño a que sus intereses y su bienestar integral sean considerados prioritarios en todas las decisiones que le afecten. También funciona como un principio interpretativo, que debe guiar la interpretación y aplicación de las normas jurídicas con el fin de maximizar la protección de los niños y jóvenes, siempre en favor de su pleno desarrollo y dignidad. Finalmente, establece una norma procesal, que impone a los solicitantes el deber de tener en cuenta los intereses del niño, exigiendo razones específicas sobre cómo se evaluó este interés al tomar una decisión administrativa o judicial. Esto puede suceder tanto analizando los efectos positivos y negativos de la decisión sobre los derechos del niño como, siempre que sea posible, garantizando al niño sus derechos de audiencia y participación en actos destinados a proteger sus derechos, directamente o mediante una escucha especializada, con métodos adecuados a su edad y madurez[29]. </w:t>
      </w:r>
    </w:p>
    <w:p w14:paraId="2F308F2C" w14:textId="77777777" w:rsidR="002C1B58" w:rsidRPr="00B06F4F" w:rsidRDefault="002C1B58">
      <w:pPr>
        <w:pStyle w:val="SFPd"/>
        <w:rPr>
          <w:color w:val="000000"/>
          <w:lang w:val="pt-BR"/>
        </w:rPr>
      </w:pPr>
      <w:r w:rsidRPr="00B06F4F">
        <w:rPr>
          <w:color w:val="000000"/>
          <w:lang w:val="pt-BR"/>
        </w:rPr>
        <w:t xml:space="preserve">        </w:t>
      </w:r>
    </w:p>
    <w:p w14:paraId="74F15576" w14:textId="77777777" w:rsidR="002C1B58" w:rsidRPr="00B06F4F" w:rsidRDefault="002C1B58">
      <w:pPr>
        <w:pStyle w:val="SFPd"/>
        <w:rPr>
          <w:color w:val="000000"/>
          <w:lang w:val="pt-BR"/>
        </w:rPr>
      </w:pPr>
      <w:r>
        <w:rPr>
          <w:color w:val="000000"/>
          <w:lang w:val="pt-BR"/>
        </w:rPr>
        <w:t>46. Estos vectores se traducen en el postulado pro infante, que determina que, en situaciones de conflicto entre normas constitucionales, prevalece la solución que mejor sirva a los intereses del niño. Por lo tanto, todas las autoridades tienen el deber de aplicar el ordenamiento jurídico a la luz del interés superior del niño, y deben: considerar las características y circunstancias específicas de cada niño, comparándolas con criterios generales de bienestar infantil; respetar los parámetros de razonabilidad y proporcionalidad; y actuar siempre con la máxima diligencia y cuidado, a fin de evitar cualquier medida que pueda perjudicar el desarrollo del niño.</w:t>
      </w:r>
    </w:p>
    <w:p w14:paraId="69687ED5" w14:textId="77777777" w:rsidR="002C1B58" w:rsidRPr="00B06F4F" w:rsidRDefault="002C1B58">
      <w:pPr>
        <w:pStyle w:val="SFPd"/>
        <w:rPr>
          <w:color w:val="000000"/>
          <w:lang w:val="pt-BR"/>
        </w:rPr>
      </w:pPr>
      <w:r w:rsidRPr="00B06F4F">
        <w:rPr>
          <w:color w:val="000000"/>
          <w:lang w:val="pt-BR"/>
        </w:rPr>
        <w:t xml:space="preserve">        </w:t>
      </w:r>
    </w:p>
    <w:p w14:paraId="68D6B207" w14:textId="77777777" w:rsidR="002C1B58" w:rsidRPr="00B06F4F" w:rsidRDefault="002C1B58">
      <w:pPr>
        <w:pStyle w:val="SFPd"/>
        <w:rPr>
          <w:color w:val="000000"/>
          <w:lang w:val="pt-BR"/>
        </w:rPr>
      </w:pPr>
      <w:r>
        <w:rPr>
          <w:color w:val="000000"/>
          <w:lang w:val="pt-BR"/>
        </w:rPr>
        <w:lastRenderedPageBreak/>
        <w:t>47. En los conflictos familiares de carácter internacional, la aplicación del principio del interés superior del niño requiere un análisis sensible y contextualizado, teniendo en cuenta factores determinantes de su desarrollo integral, como la estabilidad emocional, el entorno familiar y los vínculos afectivos establecidos. El compromiso de la jurisdicción debe ser la protección real y efectiva, asegurando que cualquier decisión refleje realmente sus mejores intereses.</w:t>
      </w:r>
    </w:p>
    <w:p w14:paraId="0F78B207" w14:textId="77777777" w:rsidR="002C1B58" w:rsidRPr="00B06F4F" w:rsidRDefault="002C1B58">
      <w:pPr>
        <w:pStyle w:val="SFPd"/>
        <w:rPr>
          <w:color w:val="000000"/>
          <w:lang w:val="pt-BR"/>
        </w:rPr>
      </w:pPr>
      <w:r w:rsidRPr="00B06F4F">
        <w:rPr>
          <w:color w:val="000000"/>
          <w:lang w:val="pt-BR"/>
        </w:rPr>
        <w:t xml:space="preserve">        </w:t>
      </w:r>
    </w:p>
    <w:p w14:paraId="24527735" w14:textId="77777777" w:rsidR="002C1B58" w:rsidRPr="00B06F4F" w:rsidRDefault="002C1B58">
      <w:pPr>
        <w:pStyle w:val="SFPd"/>
        <w:rPr>
          <w:color w:val="000000"/>
          <w:lang w:val="pt-BR"/>
        </w:rPr>
      </w:pPr>
      <w:r>
        <w:rPr>
          <w:color w:val="000000"/>
          <w:lang w:val="pt-BR"/>
        </w:rPr>
        <w:t>48. Según el Convenio de La Haya de 1980, aunque el objetivo es frenar el traslado o retención ilegal de niños mediante el restablecimiento de su residencia habitual, el principio del interés superior debe informar la aplicación concreta del tratado. Esto es evidente en las excepciones a la restitución inmediata previstas en los artículos 12 y 13, en particular la excepción del artículo 13 (1) (b), que permite denegar la restitución cuando existe un riesgo grave de que el niño quede expuesto a daños físicos o psicológicos o sea puesto en una situación intolerable. Si bien se recomienda una lectura no ampliada de estas excepciones, no deben interpretarse de manera formalista ni de espaldas a la realidad: al fin y al cabo, tales hipótesis de no retorno constituyen mecanismos para preservar el interés superior del niño.</w:t>
      </w:r>
    </w:p>
    <w:p w14:paraId="0AB3FCBB" w14:textId="77777777" w:rsidR="002C1B58" w:rsidRPr="00B06F4F" w:rsidRDefault="002C1B58">
      <w:pPr>
        <w:pStyle w:val="SFPd"/>
        <w:rPr>
          <w:color w:val="000000"/>
          <w:lang w:val="pt-BR"/>
        </w:rPr>
      </w:pPr>
      <w:r w:rsidRPr="00B06F4F">
        <w:rPr>
          <w:color w:val="000000"/>
          <w:lang w:val="pt-BR"/>
        </w:rPr>
        <w:t xml:space="preserve">        </w:t>
      </w:r>
    </w:p>
    <w:p w14:paraId="35F3488F" w14:textId="77777777" w:rsidR="002C1B58" w:rsidRPr="00B06F4F" w:rsidRDefault="002C1B58">
      <w:pPr>
        <w:pStyle w:val="SFPd"/>
        <w:rPr>
          <w:color w:val="000000"/>
          <w:lang w:val="pt-BR"/>
        </w:rPr>
      </w:pPr>
      <w:r>
        <w:rPr>
          <w:color w:val="000000"/>
          <w:lang w:val="pt-BR"/>
        </w:rPr>
        <w:t>49. En resumen, el principio del interés superior del niño, como norma constitucional e internacional vinculante, debe entenderse como base para una interpretación coherente de las disposiciones impugnadas del Convenio de La Haya. No se trata de eliminar la Convención, sino de garantizar que su aplicación, incluidas sus excepciones, sea acorde con los derechos fundamentales de los niños, salvaguardando su dignidad, integridad y desarrollo integral.</w:t>
      </w:r>
    </w:p>
    <w:p w14:paraId="51335962" w14:textId="77777777" w:rsidR="002C1B58" w:rsidRPr="00B06F4F" w:rsidRDefault="002C1B58">
      <w:pPr>
        <w:pStyle w:val="SFPd"/>
        <w:rPr>
          <w:color w:val="000000"/>
          <w:lang w:val="pt-BR"/>
        </w:rPr>
      </w:pPr>
      <w:r w:rsidRPr="00B06F4F">
        <w:rPr>
          <w:color w:val="000000"/>
          <w:lang w:val="pt-BR"/>
        </w:rPr>
        <w:t xml:space="preserve">        </w:t>
      </w:r>
    </w:p>
    <w:p w14:paraId="39F8F0B9" w14:textId="77777777" w:rsidR="002C1B58" w:rsidRPr="00B06F4F" w:rsidRDefault="002C1B58">
      <w:pPr>
        <w:pStyle w:val="SFPdCnrlzd"/>
        <w:rPr>
          <w:color w:val="000000"/>
          <w:lang w:val="pt-BR"/>
        </w:rPr>
      </w:pPr>
      <w:r>
        <w:rPr>
          <w:smallCaps/>
          <w:color w:val="000000"/>
          <w:lang w:val="pt-BR"/>
        </w:rPr>
        <w:t>Parte II</w:t>
      </w:r>
    </w:p>
    <w:p w14:paraId="1E37C72B" w14:textId="77777777" w:rsidR="002C1B58" w:rsidRPr="00B06F4F" w:rsidRDefault="002C1B58">
      <w:pPr>
        <w:pStyle w:val="SFPdCnrlzd"/>
        <w:rPr>
          <w:color w:val="000000"/>
          <w:lang w:val="pt-BR"/>
        </w:rPr>
      </w:pPr>
    </w:p>
    <w:p w14:paraId="5CE08DEB" w14:textId="77777777" w:rsidR="002C1B58" w:rsidRPr="00B06F4F" w:rsidRDefault="002C1B58">
      <w:pPr>
        <w:pStyle w:val="SFPdCnrlzd"/>
        <w:rPr>
          <w:color w:val="000000"/>
          <w:lang w:val="pt-BR"/>
        </w:rPr>
      </w:pPr>
      <w:r>
        <w:rPr>
          <w:smallCaps/>
          <w:color w:val="000000"/>
          <w:lang w:val="pt-BR"/>
        </w:rPr>
        <w:t>La solución del caso</w:t>
      </w:r>
    </w:p>
    <w:p w14:paraId="2DB14D49" w14:textId="77777777" w:rsidR="002C1B58" w:rsidRPr="00B06F4F" w:rsidRDefault="002C1B58">
      <w:pPr>
        <w:pStyle w:val="SFPd"/>
        <w:rPr>
          <w:color w:val="000000"/>
          <w:lang w:val="pt-BR"/>
        </w:rPr>
      </w:pPr>
      <w:r w:rsidRPr="00B06F4F">
        <w:rPr>
          <w:smallCaps/>
          <w:color w:val="000000"/>
          <w:lang w:val="pt-BR"/>
        </w:rPr>
        <w:t xml:space="preserve">        </w:t>
      </w:r>
    </w:p>
    <w:p w14:paraId="05EEA5FE" w14:textId="77777777" w:rsidR="002C1B58" w:rsidRPr="00B06F4F" w:rsidRDefault="002C1B58">
      <w:pPr>
        <w:pStyle w:val="SFPd"/>
        <w:rPr>
          <w:color w:val="000000"/>
          <w:lang w:val="pt-BR"/>
        </w:rPr>
      </w:pPr>
      <w:r>
        <w:rPr>
          <w:color w:val="000000"/>
          <w:lang w:val="pt-BR"/>
        </w:rPr>
        <w:t xml:space="preserve">50. Teniendo en cuenta el contexto y las premisas discutidas en el punto anterior, parece necesario adoptar medidas para garantizar que la interpretación y aplicación práctica de la Convención de La Haya de 1980 en Brasil esté en línea con el principio del interés superior del niño, con soluciones efectivas a dos problemas. </w:t>
      </w:r>
    </w:p>
    <w:p w14:paraId="2F62A4CA" w14:textId="77777777" w:rsidR="002C1B58" w:rsidRPr="00B06F4F" w:rsidRDefault="002C1B58">
      <w:pPr>
        <w:pStyle w:val="SFPd"/>
        <w:rPr>
          <w:color w:val="000000"/>
          <w:lang w:val="pt-BR"/>
        </w:rPr>
      </w:pPr>
      <w:r w:rsidRPr="00B06F4F">
        <w:rPr>
          <w:color w:val="000000"/>
          <w:lang w:val="pt-BR"/>
        </w:rPr>
        <w:t xml:space="preserve">        </w:t>
      </w:r>
    </w:p>
    <w:p w14:paraId="7658B6F7" w14:textId="77777777" w:rsidR="002C1B58" w:rsidRPr="00B06F4F" w:rsidRDefault="002C1B58">
      <w:pPr>
        <w:pStyle w:val="SFPd"/>
        <w:rPr>
          <w:color w:val="000000"/>
          <w:lang w:val="pt-BR"/>
        </w:rPr>
      </w:pPr>
      <w:r>
        <w:rPr>
          <w:color w:val="000000"/>
          <w:lang w:val="pt-BR"/>
        </w:rPr>
        <w:t xml:space="preserve">51. El primero es la demora en llegar a una decisión definitiva sobre la solicitud de devolución, ya sea determinando la devolución o estableciendo la configuración de excepción que justifica la no devolución. Como se verá, es ampliamente reconocido que las demoras procesales en las solicitudes de </w:t>
      </w:r>
      <w:r>
        <w:rPr>
          <w:color w:val="000000"/>
          <w:lang w:val="pt-BR"/>
        </w:rPr>
        <w:lastRenderedPageBreak/>
        <w:t>restitución internacional son perjudiciales para los niños y pueden generar traumas y daños psicológicos.</w:t>
      </w:r>
    </w:p>
    <w:p w14:paraId="44701CEA" w14:textId="77777777" w:rsidR="002C1B58" w:rsidRPr="00B06F4F" w:rsidRDefault="002C1B58">
      <w:pPr>
        <w:pStyle w:val="SFPd"/>
        <w:rPr>
          <w:color w:val="000000"/>
          <w:lang w:val="pt-BR"/>
        </w:rPr>
      </w:pPr>
      <w:r w:rsidRPr="00B06F4F">
        <w:rPr>
          <w:color w:val="000000"/>
          <w:lang w:val="pt-BR"/>
        </w:rPr>
        <w:t xml:space="preserve">        </w:t>
      </w:r>
    </w:p>
    <w:p w14:paraId="1C12082A" w14:textId="77777777" w:rsidR="002C1B58" w:rsidRPr="00B06F4F" w:rsidRDefault="002C1B58">
      <w:pPr>
        <w:pStyle w:val="SFPd"/>
        <w:rPr>
          <w:color w:val="000000"/>
          <w:lang w:val="pt-BR"/>
        </w:rPr>
      </w:pPr>
      <w:r>
        <w:rPr>
          <w:color w:val="000000"/>
          <w:lang w:val="pt-BR"/>
        </w:rPr>
        <w:t xml:space="preserve">52. El segundo es la falta de parámetros claros para la interpretación y aplicación de la excepción del artículo 13 (1) (b) en casos de violencia doméstica contra la madre. Como se explicará más adelante, la lectura de esta hipótesis de no retorno no puede ignorar los efectos negativos de la violencia doméstica sobre los niños. Por otro lado, es necesario definir un parámetro probatorio adecuado, capaz de, por un lado, evitar acusaciones infundadas de violencia doméstica y, por otro, evitar que el análisis de la configuración de la violencia doméstica genere la necesidad de grandes demoras en la prueba y demoras procesales incompatibles con la lógica de urgencia y la celeridad exigidas por la Convención.  </w:t>
      </w:r>
    </w:p>
    <w:p w14:paraId="7ACFEDD9" w14:textId="77777777" w:rsidR="002C1B58" w:rsidRPr="00B06F4F" w:rsidRDefault="002C1B58">
      <w:pPr>
        <w:pStyle w:val="SFPd"/>
        <w:rPr>
          <w:color w:val="000000"/>
          <w:lang w:val="pt-BR"/>
        </w:rPr>
      </w:pPr>
      <w:r w:rsidRPr="00B06F4F">
        <w:rPr>
          <w:color w:val="000000"/>
          <w:lang w:val="pt-BR"/>
        </w:rPr>
        <w:t xml:space="preserve">        </w:t>
      </w:r>
    </w:p>
    <w:p w14:paraId="15E49FB0" w14:textId="77777777" w:rsidR="002C1B58" w:rsidRPr="00B06F4F" w:rsidRDefault="002C1B58">
      <w:pPr>
        <w:pStyle w:val="SFPd"/>
        <w:rPr>
          <w:color w:val="000000"/>
          <w:lang w:val="pt-BR"/>
        </w:rPr>
      </w:pPr>
      <w:r>
        <w:rPr>
          <w:color w:val="000000"/>
          <w:lang w:val="pt-BR"/>
        </w:rPr>
        <w:t>53. Las demás solicitudes de declaración parcial de inconstitucionalidad del Decreto Legislativo n° 79/1999 y del Decreto Presidencial n° 3.413/2000, para la ratificación y promulgación del Convenio de La Haya de 1980 serán objeto de la Parte III de esta votación.</w:t>
      </w:r>
    </w:p>
    <w:p w14:paraId="7ECECE2B" w14:textId="77777777" w:rsidR="002C1B58" w:rsidRPr="00B06F4F" w:rsidRDefault="002C1B58">
      <w:pPr>
        <w:pStyle w:val="SFPd"/>
        <w:rPr>
          <w:color w:val="000000"/>
          <w:lang w:val="pt-BR"/>
        </w:rPr>
      </w:pPr>
      <w:r w:rsidRPr="00B06F4F">
        <w:rPr>
          <w:color w:val="000000"/>
          <w:lang w:val="pt-BR"/>
        </w:rPr>
        <w:t xml:space="preserve">        </w:t>
      </w:r>
    </w:p>
    <w:p w14:paraId="5EC84067" w14:textId="77777777" w:rsidR="002C1B58" w:rsidRPr="00B06F4F" w:rsidRDefault="002C1B58">
      <w:pPr>
        <w:pStyle w:val="SFPd"/>
        <w:rPr>
          <w:color w:val="000000"/>
          <w:lang w:val="pt-BR"/>
        </w:rPr>
      </w:pPr>
      <w:r>
        <w:rPr>
          <w:smallCaps/>
          <w:color w:val="000000"/>
          <w:lang w:val="pt-BR"/>
        </w:rPr>
        <w:t>II.1 El tema de la lentitud de los procesos de restitución de menores</w:t>
      </w:r>
    </w:p>
    <w:p w14:paraId="435BA821" w14:textId="77777777" w:rsidR="002C1B58" w:rsidRPr="00B06F4F" w:rsidRDefault="002C1B58">
      <w:pPr>
        <w:pStyle w:val="SFPd"/>
        <w:rPr>
          <w:color w:val="000000"/>
          <w:lang w:val="pt-BR"/>
        </w:rPr>
      </w:pPr>
      <w:r w:rsidRPr="00B06F4F">
        <w:rPr>
          <w:color w:val="000000"/>
          <w:lang w:val="pt-BR"/>
        </w:rPr>
        <w:t xml:space="preserve">        </w:t>
      </w:r>
    </w:p>
    <w:p w14:paraId="2E4DC55E" w14:textId="77777777" w:rsidR="002C1B58" w:rsidRPr="00B06F4F" w:rsidRDefault="002C1B58">
      <w:pPr>
        <w:pStyle w:val="SFPd"/>
        <w:rPr>
          <w:color w:val="000000"/>
          <w:lang w:val="pt-BR"/>
        </w:rPr>
      </w:pPr>
      <w:r>
        <w:rPr>
          <w:color w:val="000000"/>
          <w:lang w:val="pt-BR"/>
        </w:rPr>
        <w:t>54. Como ya se destacó, Brasil ha sido percibido por la comunidad internacional como un país que no cumple plenamente con la Convención de La Haya de 1980, debido a la demora en localizar al niño y tomar una decisión judicial definitiva sobre la solicitud de restitución. Se trata de una cuestión con implicaciones concretas para la eficacia del sistema de cooperación jurídica internacional. Además del daño a la credibilidad del Estado brasileño en el escenario global, debe considerarse el riesgo real de comprometer la reciprocidad en la aplicación del tratado. La percepción de incumplimiento puede llevar a otros Estados a ser reacios a procesar solicitudes activas hechas por Brasil, creando obstáculos al regreso de niños brasileños sacados ilegalmente del territorio nacional.</w:t>
      </w:r>
    </w:p>
    <w:p w14:paraId="789976A5" w14:textId="77777777" w:rsidR="002C1B58" w:rsidRPr="00B06F4F" w:rsidRDefault="002C1B58">
      <w:pPr>
        <w:pStyle w:val="SFPd"/>
        <w:rPr>
          <w:color w:val="000000"/>
          <w:lang w:val="pt-BR"/>
        </w:rPr>
      </w:pPr>
      <w:r w:rsidRPr="00B06F4F">
        <w:rPr>
          <w:color w:val="000000"/>
          <w:lang w:val="pt-BR"/>
        </w:rPr>
        <w:t xml:space="preserve">        </w:t>
      </w:r>
    </w:p>
    <w:p w14:paraId="32698D6E" w14:textId="77777777" w:rsidR="002C1B58" w:rsidRPr="00B06F4F" w:rsidRDefault="002C1B58">
      <w:pPr>
        <w:pStyle w:val="SFPd"/>
        <w:rPr>
          <w:color w:val="000000"/>
          <w:lang w:val="pt-BR"/>
        </w:rPr>
      </w:pPr>
      <w:r>
        <w:rPr>
          <w:color w:val="000000"/>
          <w:lang w:val="pt-BR"/>
        </w:rPr>
        <w:t xml:space="preserve">55. Más que un problema diplomático, es necesario reconocer que la demora en definir la restitución del niño es una cuestión constitucional, a la luz del principio del interés superior. Cada día que un niño permanece alejado de su lugar habitual de residencia puede tener importantes impactos emocionales, ya sea por la progresiva erosión del vínculo con el progenitor que permaneció en el país de origen (left-behind parent) o por la separación de la comunidad y red social a la que estaba integrado. Además, los retrasos en la definición de la restitución pueden intensificar el conflicto entre los padres, dificultando las soluciones consensuadas y aumentando los efectos adversos de la disputa sobre el niño. Por otro lado, la restitución tardía, </w:t>
      </w:r>
      <w:r>
        <w:rPr>
          <w:color w:val="000000"/>
          <w:lang w:val="pt-BR"/>
        </w:rPr>
        <w:lastRenderedPageBreak/>
        <w:t>abrupta y descontextualizada también puede provocar nuevos sufrimientos y una grave inestabilidad emocional en el niño.</w:t>
      </w:r>
    </w:p>
    <w:p w14:paraId="1663879C" w14:textId="77777777" w:rsidR="002C1B58" w:rsidRPr="00B06F4F" w:rsidRDefault="002C1B58">
      <w:pPr>
        <w:pStyle w:val="SFPd"/>
        <w:rPr>
          <w:color w:val="000000"/>
          <w:lang w:val="pt-BR"/>
        </w:rPr>
      </w:pPr>
      <w:r w:rsidRPr="00B06F4F">
        <w:rPr>
          <w:color w:val="000000"/>
          <w:lang w:val="pt-BR"/>
        </w:rPr>
        <w:t xml:space="preserve">        </w:t>
      </w:r>
    </w:p>
    <w:p w14:paraId="03562C90" w14:textId="77777777" w:rsidR="002C1B58" w:rsidRPr="00B06F4F" w:rsidRDefault="002C1B58">
      <w:pPr>
        <w:pStyle w:val="SFPd"/>
        <w:rPr>
          <w:color w:val="000000"/>
          <w:lang w:val="pt-BR"/>
        </w:rPr>
      </w:pPr>
      <w:r>
        <w:rPr>
          <w:color w:val="000000"/>
          <w:lang w:val="pt-BR"/>
        </w:rPr>
        <w:t>56. Un estudio cualitativo sobre los efectos de la sustracción internacional en niños encontró que la mayoría de los niños secuestrados, independientemente de si fueron devueltos o no, experimentaron problemas de salud mental en su vida adulta, incluidos depresión, ataques de pánico, síndrome de estrés postraumático y brotes psicóticos.[30] Sin embargo, un punto importante de la investigación fue que cuanto más corto era el tiempo de resta, menor era la probabilidad de efectos significativos.[31]-[32] Sólo en los casos en que el problema se resolvió en menos de un año después de la resta, algunos de los niños informaron no haber sufrido efectos significativos[33].</w:t>
      </w:r>
    </w:p>
    <w:p w14:paraId="1BF84F54" w14:textId="77777777" w:rsidR="002C1B58" w:rsidRPr="00B06F4F" w:rsidRDefault="002C1B58">
      <w:pPr>
        <w:pStyle w:val="SFPd"/>
        <w:rPr>
          <w:color w:val="000000"/>
          <w:lang w:val="pt-BR"/>
        </w:rPr>
      </w:pPr>
      <w:r w:rsidRPr="00B06F4F">
        <w:rPr>
          <w:color w:val="000000"/>
          <w:lang w:val="pt-BR"/>
        </w:rPr>
        <w:t xml:space="preserve">        </w:t>
      </w:r>
    </w:p>
    <w:p w14:paraId="20081A24" w14:textId="77777777" w:rsidR="002C1B58" w:rsidRPr="00B06F4F" w:rsidRDefault="002C1B58">
      <w:pPr>
        <w:pStyle w:val="SFPd"/>
        <w:rPr>
          <w:color w:val="000000"/>
          <w:lang w:val="pt-BR"/>
        </w:rPr>
      </w:pPr>
      <w:r>
        <w:rPr>
          <w:color w:val="000000"/>
          <w:lang w:val="pt-BR"/>
        </w:rPr>
        <w:t>57. Por lo tanto, una consideración adecuada del principio constitucional del interés superior del niño requiere que la interpretación y aplicación de la Convención de La Haya de 1980 en Brasil se realice de tal manera que la tramitación de los procesos relacionados con la restitución internacional de niños sea más rápida y efectiva.</w:t>
      </w:r>
    </w:p>
    <w:p w14:paraId="71DF9BA3" w14:textId="77777777" w:rsidR="002C1B58" w:rsidRPr="00B06F4F" w:rsidRDefault="002C1B58">
      <w:pPr>
        <w:pStyle w:val="SFPd"/>
        <w:rPr>
          <w:color w:val="000000"/>
          <w:lang w:val="pt-BR"/>
        </w:rPr>
      </w:pPr>
      <w:r w:rsidRPr="00B06F4F">
        <w:rPr>
          <w:color w:val="000000"/>
          <w:lang w:val="pt-BR"/>
        </w:rPr>
        <w:t xml:space="preserve">        </w:t>
      </w:r>
    </w:p>
    <w:p w14:paraId="2A629DC6" w14:textId="77777777" w:rsidR="002C1B58" w:rsidRPr="00B06F4F" w:rsidRDefault="002C1B58">
      <w:pPr>
        <w:pStyle w:val="SFPd"/>
        <w:rPr>
          <w:color w:val="000000"/>
          <w:lang w:val="pt-BR"/>
        </w:rPr>
      </w:pPr>
      <w:r>
        <w:rPr>
          <w:color w:val="000000"/>
          <w:lang w:val="pt-BR"/>
        </w:rPr>
        <w:t>58. Un estudio publicado por la Conferencia de La Haya identificó un patrón entre los diferentes países que mostraba una reducción en el tiempo necesario para concluir un caso relacionado con la Convención de 1980. A pesar de la variación en los procedimientos entre países, la adopción de procedimientos judiciales más eficientes y la gestión eficaz de los procesos pueden identificarse como un rasgo común entre los Estados que cumplen con la Convención[34]. Por lo tanto, es necesario evolucionar en Brasil hacia la estructuración de un procedimiento de tutela urgente, que garantice prioridad absoluta en la tramitación de las solicitudes de restitución internacional, desde la ubicación inicial del niño hasta su entrega efectiva al tutor legal.</w:t>
      </w:r>
    </w:p>
    <w:p w14:paraId="244B7B97" w14:textId="77777777" w:rsidR="002C1B58" w:rsidRPr="00B06F4F" w:rsidRDefault="002C1B58">
      <w:pPr>
        <w:pStyle w:val="SFPd"/>
        <w:rPr>
          <w:color w:val="000000"/>
          <w:lang w:val="pt-BR"/>
        </w:rPr>
      </w:pPr>
      <w:r w:rsidRPr="00B06F4F">
        <w:rPr>
          <w:color w:val="000000"/>
          <w:lang w:val="pt-BR"/>
        </w:rPr>
        <w:t xml:space="preserve">        </w:t>
      </w:r>
    </w:p>
    <w:p w14:paraId="7ED10E58" w14:textId="77777777" w:rsidR="002C1B58" w:rsidRPr="00B06F4F" w:rsidRDefault="002C1B58">
      <w:pPr>
        <w:pStyle w:val="SFPd"/>
        <w:rPr>
          <w:color w:val="000000"/>
          <w:lang w:val="pt-BR"/>
        </w:rPr>
      </w:pPr>
      <w:r>
        <w:rPr>
          <w:color w:val="000000"/>
          <w:u w:val="single"/>
          <w:lang w:val="pt-BR"/>
        </w:rPr>
        <w:t>Regulación procesal más rápida por parte de la CNJ</w:t>
      </w:r>
    </w:p>
    <w:p w14:paraId="3520328A" w14:textId="77777777" w:rsidR="002C1B58" w:rsidRPr="00B06F4F" w:rsidRDefault="002C1B58">
      <w:pPr>
        <w:pStyle w:val="SFPd"/>
        <w:rPr>
          <w:color w:val="000000"/>
          <w:lang w:val="pt-BR"/>
        </w:rPr>
      </w:pPr>
      <w:r w:rsidRPr="00B06F4F">
        <w:rPr>
          <w:color w:val="000000"/>
          <w:lang w:val="pt-BR"/>
        </w:rPr>
        <w:t xml:space="preserve">        </w:t>
      </w:r>
    </w:p>
    <w:p w14:paraId="2F3FB99E" w14:textId="77777777" w:rsidR="002C1B58" w:rsidRPr="00B06F4F" w:rsidRDefault="002C1B58">
      <w:pPr>
        <w:pStyle w:val="SFPd"/>
        <w:rPr>
          <w:color w:val="000000"/>
          <w:lang w:val="pt-BR"/>
        </w:rPr>
      </w:pPr>
      <w:r>
        <w:rPr>
          <w:color w:val="000000"/>
          <w:lang w:val="pt-BR"/>
        </w:rPr>
        <w:t xml:space="preserve">59. Considerando que el Convenio de La Haya de 1980 tiene rango supralegal, el plazo para resolver los casos en seis semanas (artículo 11) ya está incorporado en el ordenamiento jurídico brasileño, con mayor jerarquía que la de la legislación nacional, incluida la legislación procesal civil. El proceso procesal interno debe, por lo tanto, permitir que se respete este plazo, al menos, para obtener una decisión en el primer nivel de jurisdicción, ya sea concediendo o negando la restitución del niño. Este procedimiento debe garantizar también que se adopte una decisión definitiva sobre la restitución del niño en un plazo no superior a 1 (un) año, plazo que puede </w:t>
      </w:r>
      <w:r>
        <w:rPr>
          <w:color w:val="000000"/>
          <w:lang w:val="pt-BR"/>
        </w:rPr>
        <w:lastRenderedPageBreak/>
        <w:t xml:space="preserve">extraerse, por analogía, del artículo 12 de la Convención como razonable para que se adopte la decisión definitiva de devolución o no devolución.  </w:t>
      </w:r>
    </w:p>
    <w:p w14:paraId="3AC0A1F0" w14:textId="77777777" w:rsidR="002C1B58" w:rsidRPr="00B06F4F" w:rsidRDefault="002C1B58">
      <w:pPr>
        <w:pStyle w:val="SFPd"/>
        <w:rPr>
          <w:color w:val="000000"/>
          <w:lang w:val="pt-BR"/>
        </w:rPr>
      </w:pPr>
      <w:r w:rsidRPr="00B06F4F">
        <w:rPr>
          <w:color w:val="000000"/>
          <w:lang w:val="pt-BR"/>
        </w:rPr>
        <w:t xml:space="preserve">        </w:t>
      </w:r>
    </w:p>
    <w:p w14:paraId="0B114F3B" w14:textId="77777777" w:rsidR="002C1B58" w:rsidRPr="00B06F4F" w:rsidRDefault="002C1B58">
      <w:pPr>
        <w:pStyle w:val="SFPd"/>
        <w:rPr>
          <w:color w:val="000000"/>
          <w:lang w:val="pt-BR"/>
        </w:rPr>
      </w:pPr>
      <w:r>
        <w:rPr>
          <w:color w:val="000000"/>
          <w:lang w:val="pt-BR"/>
        </w:rPr>
        <w:t xml:space="preserve">60. Si bien el Congreso Nacional no aprueba una ley específica con un procedimiento especial muy sumario para el tratamiento de casos bajo el Convenio de La Haya de 1980, ahora es posible, mediante la aplicación directa de las disposiciones del tratado, establecer, mediante Resolución del Consejo Nacional de Justicia (CNJ), plazos, procedimientos y disposiciones especiales capaces de asegurar el cumplimiento de la duración razonable del proceso. </w:t>
      </w:r>
    </w:p>
    <w:p w14:paraId="32193226" w14:textId="77777777" w:rsidR="002C1B58" w:rsidRPr="00B06F4F" w:rsidRDefault="002C1B58">
      <w:pPr>
        <w:pStyle w:val="SFPd"/>
        <w:rPr>
          <w:color w:val="000000"/>
          <w:lang w:val="pt-BR"/>
        </w:rPr>
      </w:pPr>
      <w:r w:rsidRPr="00B06F4F">
        <w:rPr>
          <w:color w:val="000000"/>
          <w:lang w:val="pt-BR"/>
        </w:rPr>
        <w:t xml:space="preserve">        </w:t>
      </w:r>
    </w:p>
    <w:p w14:paraId="0BA599A0" w14:textId="77777777" w:rsidR="002C1B58" w:rsidRPr="00B06F4F" w:rsidRDefault="002C1B58">
      <w:pPr>
        <w:pStyle w:val="SFPd"/>
        <w:rPr>
          <w:color w:val="000000"/>
          <w:lang w:val="pt-BR"/>
        </w:rPr>
      </w:pPr>
      <w:r>
        <w:rPr>
          <w:color w:val="000000"/>
          <w:lang w:val="pt-BR"/>
        </w:rPr>
        <w:t>61. Con este objetivo, el CNJ publicó la Resolución N° 449, de 30 de marzo de 2022, encaminada a agilizar la tramitación de las solicitudes de restitución internacional de menores. La Resolución establece disposiciones que tienen como objetivo dotar de mayor celeridad en relación a los plazos establecidos en el Código de Procedimiento Civil, acercándose a un procedimiento de tramitación de prioridad especial. La Resolución fija un plazo (máximo) de 30 días para la audiencia de mediación (art. 10, III [36]), a diferencia del art. 334 del CPC [37], que prevé un preaviso mínimo de 30 días entre la citación y la audiencia. El plazo de oposición de quince días (art. 11) coincide con el previsto en el procedimiento común del art. 335 del CPC. Destaca también la obligación de celebrar la audiencia previa al juicio dentro de los 30 días siguientes a la rehabilitación (art. 14, caput [38], prorrogable, excepcionalmente, por el mismo plazo, en los términos del § 6 [39] de la misma disposición), a diferencia del art. 357, V, del CPC, que sólo determina la designación de una audiencia de investigación y juicio, sin plazo definido; y la vinculación del final del peritaje a la fecha de la audiencia (art. 14, §4 [40]), mientras que el art. 465 del CPC no establece una necesaria conexión con la audiencia como plazo para la entrega del informe.</w:t>
      </w:r>
    </w:p>
    <w:p w14:paraId="6B033CFB" w14:textId="77777777" w:rsidR="002C1B58" w:rsidRPr="00B06F4F" w:rsidRDefault="002C1B58">
      <w:pPr>
        <w:pStyle w:val="SFPd"/>
        <w:rPr>
          <w:color w:val="000000"/>
          <w:lang w:val="pt-BR"/>
        </w:rPr>
      </w:pPr>
    </w:p>
    <w:p w14:paraId="76474950" w14:textId="77777777" w:rsidR="002C1B58" w:rsidRPr="00B06F4F" w:rsidRDefault="002C1B58">
      <w:pPr>
        <w:pStyle w:val="SFPd"/>
        <w:rPr>
          <w:color w:val="000000"/>
          <w:lang w:val="pt-BR"/>
        </w:rPr>
      </w:pPr>
      <w:r>
        <w:rPr>
          <w:color w:val="000000"/>
          <w:lang w:val="pt-BR"/>
        </w:rPr>
        <w:t xml:space="preserve">62. Además, la Resolución define un plazo objetivo para juzgar los recursos, hasta dos sesiones ordinarias desde la conclusión al relator (art. 19), disposición que no existe en el CPC, y prohíbe expresamente la producción de prueba sobre la adaptación del niño a Brasil antes de un año de la sustracción (art. 14, §3), norma que surge directamente del art. 12, §2, del Convenio de La Haya. </w:t>
      </w:r>
    </w:p>
    <w:p w14:paraId="27D48411" w14:textId="77777777" w:rsidR="002C1B58" w:rsidRPr="00B06F4F" w:rsidRDefault="002C1B58">
      <w:pPr>
        <w:pStyle w:val="SFPd"/>
        <w:rPr>
          <w:color w:val="000000"/>
          <w:lang w:val="pt-BR"/>
        </w:rPr>
      </w:pPr>
      <w:r w:rsidRPr="00B06F4F">
        <w:rPr>
          <w:color w:val="000000"/>
          <w:lang w:val="pt-BR"/>
        </w:rPr>
        <w:t xml:space="preserve">        </w:t>
      </w:r>
    </w:p>
    <w:p w14:paraId="1EDB3959" w14:textId="77777777" w:rsidR="002C1B58" w:rsidRPr="00B06F4F" w:rsidRDefault="002C1B58">
      <w:pPr>
        <w:pStyle w:val="SFPd"/>
        <w:rPr>
          <w:color w:val="000000"/>
          <w:lang w:val="pt-BR"/>
        </w:rPr>
      </w:pPr>
      <w:r>
        <w:rPr>
          <w:color w:val="000000"/>
          <w:lang w:val="pt-BR"/>
        </w:rPr>
        <w:t xml:space="preserve">63. La normativa dio mayor previsibilidad y eficiencia a la actuación del Poder Judicial brasileño en casos relacionados con el Convenio de La Haya de 1980. Sin embargo, es posible –y necesario– avanzar más. Los procedimientos previstos en la Resolución aún no han brindado la celeridad necesaria para las solicitudes de devolución. Los plazos para la celebración de la audiencia de mediación (30 días, art. 10, III), de presentación de la contestación (15 días, art. 11) y de la audiencia previa al juicio y de juicio (30 días, art. 14) </w:t>
      </w:r>
      <w:r>
        <w:rPr>
          <w:color w:val="000000"/>
          <w:lang w:val="pt-BR"/>
        </w:rPr>
        <w:lastRenderedPageBreak/>
        <w:t xml:space="preserve">representaron una mejora normativa, pero no son plenamente compatibles con la urgencia inherente al mecanismo internacional de restitución. Sólo estos hitos iniciales en el proceso judicial ya van mucho más allá del período de seis semanas (42 días) establecido en el artículo 11 de la Convención. </w:t>
      </w:r>
    </w:p>
    <w:p w14:paraId="5B33D582" w14:textId="77777777" w:rsidR="002C1B58" w:rsidRPr="00B06F4F" w:rsidRDefault="002C1B58">
      <w:pPr>
        <w:pStyle w:val="SFPd"/>
        <w:rPr>
          <w:color w:val="000000"/>
          <w:lang w:val="pt-BR"/>
        </w:rPr>
      </w:pPr>
      <w:r w:rsidRPr="00B06F4F">
        <w:rPr>
          <w:color w:val="000000"/>
          <w:lang w:val="pt-BR"/>
        </w:rPr>
        <w:t xml:space="preserve">        </w:t>
      </w:r>
    </w:p>
    <w:p w14:paraId="6E92D5AF" w14:textId="77777777" w:rsidR="002C1B58" w:rsidRPr="00B06F4F" w:rsidRDefault="002C1B58">
      <w:pPr>
        <w:pStyle w:val="SFPd"/>
        <w:rPr>
          <w:color w:val="000000"/>
          <w:lang w:val="pt-BR"/>
        </w:rPr>
      </w:pPr>
      <w:r>
        <w:rPr>
          <w:color w:val="000000"/>
          <w:lang w:val="pt-BR"/>
        </w:rPr>
        <w:t>64. En la construcción de esta solución, es importante que se escuche a los principales actores involucrados en la aplicación del Convenio: Abogacía General de la Unión (AGU), Autoridad Central Administrativa Federal para Adopción y Sustracción Internacional de Niños (ACAF), Ministerio Público Federal (MPF), Grupo de Trabajo de Jueces de Enlace para el Convenio de La Haya, Consejo Nacional de Justicia (CNJ), Consejo de la Justicia Federal (CJF), Superior Tribunal de Justicia (STJ), Ministerio de Relaciones Exteriores (MRE), Policía Federal, representantes de la Conferencia de La Haya para América Latina, entidades civiles y académicas.</w:t>
      </w:r>
    </w:p>
    <w:p w14:paraId="121C8546" w14:textId="77777777" w:rsidR="002C1B58" w:rsidRPr="00B06F4F" w:rsidRDefault="002C1B58">
      <w:pPr>
        <w:pStyle w:val="SFPd"/>
        <w:rPr>
          <w:color w:val="000000"/>
          <w:lang w:val="pt-BR"/>
        </w:rPr>
      </w:pPr>
      <w:r w:rsidRPr="00B06F4F">
        <w:rPr>
          <w:color w:val="000000"/>
          <w:lang w:val="pt-BR"/>
        </w:rPr>
        <w:t xml:space="preserve">        </w:t>
      </w:r>
    </w:p>
    <w:p w14:paraId="6B319B14" w14:textId="77777777" w:rsidR="002C1B58" w:rsidRPr="00B06F4F" w:rsidRDefault="002C1B58">
      <w:pPr>
        <w:pStyle w:val="SFPd"/>
        <w:rPr>
          <w:color w:val="000000"/>
          <w:lang w:val="pt-BR"/>
        </w:rPr>
      </w:pPr>
      <w:r>
        <w:rPr>
          <w:color w:val="000000"/>
          <w:lang w:val="pt-BR"/>
        </w:rPr>
        <w:t>65. Además de establecer procedimientos y plazos que permitan la solución definitiva de la mayoría de los casos dentro de los 12 (doce) meses, la resolución debe contener medidas organizativas y prácticas. A modo ilustrativo, es importante disponer que los Tribunales establezcan centros especializados, coordinados por el respectivo juez de enlace de la Región, integrados por los jueces competentes y la red interinstitucional local, para que puedan estructurar medidas de mediación, definir un flujo de trabajo para el seguimiento de los casos y organizar informes periciales, entre otros. También es necesario establecer que las Presidencias de los Tribunales Regionales Federales, el CJF y los respectivos departamentos de asuntos internos brindarán el apoyo necesario, en términos organizativos, financieros y en la respuesta a las solicitudes de información.</w:t>
      </w:r>
    </w:p>
    <w:p w14:paraId="6917477F" w14:textId="77777777" w:rsidR="002C1B58" w:rsidRPr="00B06F4F" w:rsidRDefault="002C1B58">
      <w:pPr>
        <w:pStyle w:val="SFPd"/>
        <w:rPr>
          <w:color w:val="000000"/>
          <w:lang w:val="pt-BR"/>
        </w:rPr>
      </w:pPr>
      <w:r w:rsidRPr="00B06F4F">
        <w:rPr>
          <w:color w:val="000000"/>
          <w:lang w:val="pt-BR"/>
        </w:rPr>
        <w:t xml:space="preserve">        </w:t>
      </w:r>
    </w:p>
    <w:p w14:paraId="3D1ECF71" w14:textId="77777777" w:rsidR="002C1B58" w:rsidRPr="00B06F4F" w:rsidRDefault="002C1B58">
      <w:pPr>
        <w:pStyle w:val="SFPd"/>
        <w:rPr>
          <w:color w:val="000000"/>
          <w:lang w:val="pt-BR"/>
        </w:rPr>
      </w:pPr>
      <w:r>
        <w:rPr>
          <w:color w:val="000000"/>
          <w:lang w:val="pt-BR"/>
        </w:rPr>
        <w:t xml:space="preserve">66. A partir de experiencias exitosas de otros países que aplican eficaz y rápidamente el Convenio de La Haya de 1980, también es posible extraer algunas directrices concretas para mejorar el procedimiento judicial brasileño, que pueden agregarse a la resolución:  </w:t>
      </w:r>
    </w:p>
    <w:p w14:paraId="62090900" w14:textId="77777777" w:rsidR="002C1B58" w:rsidRPr="00B06F4F" w:rsidRDefault="002C1B58">
      <w:pPr>
        <w:pStyle w:val="SFCto"/>
        <w:rPr>
          <w:color w:val="000000"/>
          <w:lang w:val="pt-BR"/>
        </w:rPr>
      </w:pPr>
      <w:r>
        <w:rPr>
          <w:color w:val="000000"/>
          <w:lang w:val="pt-BR"/>
        </w:rPr>
        <w:t>a) La limitación cognitiva del proceso judicial basada en el Convenio de La Haya de 1980 debe observarse estrictamente, de modo que el análisis del tribunal debe limitarse a si se concede o no la restitución inmediata del niño al Estado de residencia habitual. Esto incluye naturalmente la posibilidad de examinar casos excepcionales de no devolución, como la excepción de “riesgo grave” del art. 13(1)(b). Sin embargo, el procedimiento no incluye una valoración del fondo del derecho de custodia o de la conveniencia de la estancia del niño en uno u otro país, cuestiones que deben ser resueltas por la jurisdicción competente del Estado de residencia habitual del niño.</w:t>
      </w:r>
    </w:p>
    <w:p w14:paraId="0FAB34DF" w14:textId="77777777" w:rsidR="002C1B58" w:rsidRPr="00B06F4F" w:rsidRDefault="002C1B58">
      <w:pPr>
        <w:pStyle w:val="SFCto"/>
        <w:rPr>
          <w:color w:val="000000"/>
          <w:lang w:val="pt-BR"/>
        </w:rPr>
      </w:pPr>
      <w:r>
        <w:rPr>
          <w:color w:val="000000"/>
          <w:lang w:val="pt-BR"/>
        </w:rPr>
        <w:t xml:space="preserve">b) La producción de prueba debe limitarse a lo estrictamente </w:t>
      </w:r>
      <w:r>
        <w:rPr>
          <w:color w:val="000000"/>
          <w:lang w:val="pt-BR"/>
        </w:rPr>
        <w:lastRenderedPageBreak/>
        <w:t>necesario para resolver la disputa sobre la restitución inmediata del niño. La admisión de pruebas debe respetar el principio de celeridad, evitando dilaciones excesivas y garantizando que sólo se consideren pruebas relevantes directamente relacionadas con la configuración de las excepciones previstas en el Convenio, especialmente de riesgo grave. En el caso de producir prueba pericial para analizar la excepción de riesgo grave, considerar: i) elaborar una lista de peritos calificados y conocedores del Convenio; ii) recordar a las partes y a los expertos el alcance limitado del proceso de retorno y el enfoque limitado de la excepción de riesgo grave; iii) fijar el plazo dentro del cual el peritaje deberá ser transmitido al tribunal y/o a las partes, según el caso, de forma oral o escrita, a fin de evitar demoras injustificadas.</w:t>
      </w:r>
    </w:p>
    <w:p w14:paraId="361809C2" w14:textId="77777777" w:rsidR="002C1B58" w:rsidRPr="00B06F4F" w:rsidRDefault="002C1B58">
      <w:pPr>
        <w:pStyle w:val="SFCto"/>
        <w:rPr>
          <w:color w:val="000000"/>
          <w:lang w:val="pt-BR"/>
        </w:rPr>
      </w:pPr>
      <w:r>
        <w:rPr>
          <w:color w:val="000000"/>
          <w:lang w:val="pt-BR"/>
        </w:rPr>
        <w:t>c) La realización de un peritaje psicológico por parte de un profesional calificado es una herramienta importante para comprender el contexto en el que ocurre la violencia y sus efectos en el niño[41], aportando elementos que ayudan en la evaluación de si el entorno de “residencia habitual” del niño lo expone o no a una situación considerada “intolerable”, a la luz de los parámetros de la Convención de La Haya y el principio del interés superior del niño.</w:t>
      </w:r>
    </w:p>
    <w:p w14:paraId="533B1A89" w14:textId="77777777" w:rsidR="002C1B58" w:rsidRPr="00B06F4F" w:rsidRDefault="002C1B58">
      <w:pPr>
        <w:pStyle w:val="SFCto"/>
        <w:rPr>
          <w:color w:val="000000"/>
          <w:lang w:val="pt-BR"/>
        </w:rPr>
      </w:pPr>
      <w:r>
        <w:rPr>
          <w:color w:val="000000"/>
          <w:lang w:val="pt-BR"/>
        </w:rPr>
        <w:t>d) El establecimiento de parámetros objetivos para la audiencia de niños en procesos que involucran el Convenio de La Haya, mediante el desarrollo de un protocolo específico, a ser aplicado cuando sea necesario, refuerza la centralidad del interés superior del niño. La escucha debe ser realizada por un profesional calificado, a fin de garantizar la rapidez y la adopción de técnicas adecuadas, que reduzcan o neutralicen los impactos psicológicos indebidos, según lo previsto en la Ley nº 13.431/2017 (escucha especializada y testimonio especial). Para llenar vacíos estructurales y garantizar la uniformidad en el procedimiento, se permite la cooperación entre Justicia Federal y Justicia Estadual, asegurando una mayor eficiencia y eficacia.</w:t>
      </w:r>
    </w:p>
    <w:p w14:paraId="1D75E96A" w14:textId="77777777" w:rsidR="002C1B58" w:rsidRPr="00B06F4F" w:rsidRDefault="002C1B58">
      <w:pPr>
        <w:pStyle w:val="SFCto"/>
        <w:rPr>
          <w:color w:val="000000"/>
          <w:lang w:val="pt-BR"/>
        </w:rPr>
      </w:pPr>
      <w:r>
        <w:rPr>
          <w:color w:val="000000"/>
          <w:lang w:val="pt-BR"/>
        </w:rPr>
        <w:t>e) La definición de medidas para agilizar la evaluación de los recursos, incluso ante el Superior Tribunal de Justicia[42]. En Chile y Alemania, por ejemplo, las apelaciones se resuelven en un plazo de tres meses. En Alemania sólo se definió una instancia de apelación para los casos de La Haya.</w:t>
      </w:r>
    </w:p>
    <w:p w14:paraId="4F8853B6" w14:textId="77777777" w:rsidR="002C1B58" w:rsidRPr="00B06F4F" w:rsidRDefault="002C1B58">
      <w:pPr>
        <w:pStyle w:val="SFCto"/>
        <w:rPr>
          <w:color w:val="000000"/>
          <w:lang w:val="pt-BR"/>
        </w:rPr>
      </w:pPr>
      <w:r>
        <w:rPr>
          <w:color w:val="000000"/>
          <w:lang w:val="pt-BR"/>
        </w:rPr>
        <w:t xml:space="preserve">f) Fortalecimiento de la actuación de los magistrados miembros de la Red Brasileña de Jueces de Enlace para el Convenio de La Haya de 1980, regulada por la Resolución STF nº 852/2024. Los jueces de enlace actúan como vínculos entre los jueces de su propio país y otros miembros de la red internacional, promoviendo el intercambio de información relevante y una acción más efectiva y humanizada, incluida la implementación de medidas de </w:t>
      </w:r>
      <w:r>
        <w:rPr>
          <w:color w:val="000000"/>
          <w:lang w:val="pt-BR"/>
        </w:rPr>
        <w:lastRenderedPageBreak/>
        <w:t>protección que salvaguarden los derechos del niño y de los padres al regresar.[43] En particular, se debe considerar la regulación de la comunicación directa entre jueces competentes, medida que ayude a aclarar dudas y llenar vacíos de información sobre las implicaciones legales del regreso al país de residencia habitual del niño.[44]</w:t>
      </w:r>
    </w:p>
    <w:p w14:paraId="3C003C8B" w14:textId="77777777" w:rsidR="002C1B58" w:rsidRPr="00B06F4F" w:rsidRDefault="002C1B58">
      <w:pPr>
        <w:pStyle w:val="SFCto"/>
        <w:rPr>
          <w:color w:val="000000"/>
          <w:lang w:val="pt-BR"/>
        </w:rPr>
      </w:pPr>
      <w:r>
        <w:rPr>
          <w:color w:val="000000"/>
          <w:lang w:val="pt-BR"/>
        </w:rPr>
        <w:t xml:space="preserve">g) La reedición y actualización del Manual de Aplicación del Convenio de La Haya de 1980, elaborado por el Consejo de la Justicia Federal (CJF), así como la elaboración de un folleto que contiene aspectos esenciales del Convenio y alerta a los magistrados federales sobre la urgencia en el trámite del caso distribuido. </w:t>
      </w:r>
    </w:p>
    <w:p w14:paraId="701F68A6" w14:textId="77777777" w:rsidR="002C1B58" w:rsidRPr="00B06F4F" w:rsidRDefault="002C1B58">
      <w:pPr>
        <w:pStyle w:val="SFCto"/>
        <w:rPr>
          <w:color w:val="000000"/>
          <w:lang w:val="pt-BR"/>
        </w:rPr>
      </w:pPr>
      <w:r>
        <w:rPr>
          <w:color w:val="000000"/>
          <w:lang w:val="pt-BR"/>
        </w:rPr>
        <w:t>h) La actuación de la Defensoría Pública Federal, en caso de hiposuficiencia y asistencia jurídica a quienes presentan hiposuficiencia, cubriendo traducción, intérpretes, costas judiciales y honorarios legales.</w:t>
      </w:r>
    </w:p>
    <w:p w14:paraId="7FFEA56E" w14:textId="77777777" w:rsidR="002C1B58" w:rsidRPr="00B06F4F" w:rsidRDefault="002C1B58">
      <w:pPr>
        <w:pStyle w:val="SFPd"/>
        <w:rPr>
          <w:color w:val="000000"/>
          <w:lang w:val="pt-BR"/>
        </w:rPr>
      </w:pPr>
      <w:r w:rsidRPr="00B06F4F">
        <w:rPr>
          <w:color w:val="000000"/>
          <w:lang w:val="pt-BR"/>
        </w:rPr>
        <w:t xml:space="preserve">        </w:t>
      </w:r>
    </w:p>
    <w:p w14:paraId="671D7A59" w14:textId="77777777" w:rsidR="002C1B58" w:rsidRPr="00B06F4F" w:rsidRDefault="002C1B58">
      <w:pPr>
        <w:pStyle w:val="SFPd"/>
        <w:rPr>
          <w:color w:val="000000"/>
          <w:lang w:val="pt-BR"/>
        </w:rPr>
      </w:pPr>
      <w:r>
        <w:rPr>
          <w:color w:val="000000"/>
          <w:lang w:val="pt-BR"/>
        </w:rPr>
        <w:t xml:space="preserve">67. En vista de lo anterior, es necesario determinar la creación de un grupo de trabajo en el CNJ compuesto por magistrados del Grupo de Trabajo de Jueces de Enlace del Convenio de La Haya y representantes de la AGU, ACAF, MPF, la Presidencia y la Inspección Nacional de Justicia del CNJ y el CJF. El grupo de trabajo deberá presentar un proyecto de resolución sobre el tema al Pleno del CNJ en un plazo de 60 (sesenta) días. </w:t>
      </w:r>
    </w:p>
    <w:p w14:paraId="70EB9F3E" w14:textId="77777777" w:rsidR="002C1B58" w:rsidRPr="00B06F4F" w:rsidRDefault="002C1B58">
      <w:pPr>
        <w:pStyle w:val="SFPd"/>
        <w:rPr>
          <w:color w:val="000000"/>
          <w:lang w:val="pt-BR"/>
        </w:rPr>
      </w:pPr>
      <w:r w:rsidRPr="00B06F4F">
        <w:rPr>
          <w:color w:val="000000"/>
          <w:lang w:val="pt-BR"/>
        </w:rPr>
        <w:t xml:space="preserve">        </w:t>
      </w:r>
    </w:p>
    <w:p w14:paraId="1A48F17B" w14:textId="77777777" w:rsidR="002C1B58" w:rsidRPr="00B06F4F" w:rsidRDefault="002C1B58">
      <w:pPr>
        <w:pStyle w:val="SFPd"/>
        <w:rPr>
          <w:color w:val="000000"/>
          <w:lang w:val="pt-BR"/>
        </w:rPr>
      </w:pPr>
      <w:r>
        <w:rPr>
          <w:color w:val="000000"/>
          <w:u w:val="single"/>
          <w:lang w:val="pt-BR"/>
        </w:rPr>
        <w:t>Concentración de competencia y especialización de competencia por parte de los Tribunales Regionales Federales</w:t>
      </w:r>
    </w:p>
    <w:p w14:paraId="7B64BB25" w14:textId="77777777" w:rsidR="002C1B58" w:rsidRPr="00B06F4F" w:rsidRDefault="002C1B58">
      <w:pPr>
        <w:pStyle w:val="SFPd"/>
        <w:rPr>
          <w:color w:val="000000"/>
          <w:lang w:val="pt-BR"/>
        </w:rPr>
      </w:pPr>
      <w:r w:rsidRPr="00B06F4F">
        <w:rPr>
          <w:color w:val="000000"/>
          <w:lang w:val="pt-BR"/>
        </w:rPr>
        <w:t xml:space="preserve">        </w:t>
      </w:r>
    </w:p>
    <w:p w14:paraId="626C74DF" w14:textId="77777777" w:rsidR="002C1B58" w:rsidRPr="00B06F4F" w:rsidRDefault="002C1B58">
      <w:pPr>
        <w:pStyle w:val="SFPd"/>
        <w:rPr>
          <w:color w:val="000000"/>
          <w:lang w:val="pt-BR"/>
        </w:rPr>
      </w:pPr>
      <w:r>
        <w:rPr>
          <w:color w:val="000000"/>
          <w:lang w:val="pt-BR"/>
        </w:rPr>
        <w:t>68. Además de la resolución que debe emitir el CNJ, la organización de los tribunales y la especialización de la jurisdicción pueden favorecer la agilidad y uniformidad de la aplicación de la Convención en Brasil, al concentrar la sentencia en órganos con mayor conocimiento de los principios, plazos y límites interpretativos del tratado.</w:t>
      </w:r>
    </w:p>
    <w:p w14:paraId="75CC87B8" w14:textId="77777777" w:rsidR="002C1B58" w:rsidRPr="00B06F4F" w:rsidRDefault="002C1B58">
      <w:pPr>
        <w:pStyle w:val="SFPd"/>
        <w:rPr>
          <w:color w:val="000000"/>
          <w:lang w:val="pt-BR"/>
        </w:rPr>
      </w:pPr>
      <w:r w:rsidRPr="00B06F4F">
        <w:rPr>
          <w:color w:val="000000"/>
          <w:lang w:val="pt-BR"/>
        </w:rPr>
        <w:t xml:space="preserve">        </w:t>
      </w:r>
    </w:p>
    <w:p w14:paraId="427F8F96" w14:textId="77777777" w:rsidR="002C1B58" w:rsidRPr="00B06F4F" w:rsidRDefault="002C1B58">
      <w:pPr>
        <w:pStyle w:val="SFPd"/>
        <w:rPr>
          <w:color w:val="000000"/>
          <w:lang w:val="pt-BR"/>
        </w:rPr>
      </w:pPr>
      <w:r>
        <w:rPr>
          <w:color w:val="000000"/>
          <w:lang w:val="pt-BR"/>
        </w:rPr>
        <w:t xml:space="preserve">69. De hecho, algunos tribunales han logrado resultados importantes en el aumento de la celeridad al concentrar la competencia para procesar y juzgar acciones civiles basadas en el Convenio de La Haya de 1980 en uno o más tribunales civiles de la capital, de conformidad con la competencia que les confiere el art. 96 de la Constitución Federal. Este es el caso del Tribunal Regional Federal de la 6ª Región que, mediante Resolución PRESI 9/2022, de 22 de septiembre de 2022, especializó el 1º Juzgado Civil de la Subsección Judicial de Belo Horizonte para procesar y juzgar los aspectos civiles de la sustracción internacional de menores (art. 5, I). Asimismo, el Tribunal Regional Federal de la 1ª Región, mediante Resolución PRESI 61, del 21 de diciembre de 2023, definió que las acciones civiles con pretensiones o </w:t>
      </w:r>
      <w:r>
        <w:rPr>
          <w:color w:val="000000"/>
          <w:lang w:val="pt-BR"/>
        </w:rPr>
        <w:lastRenderedPageBreak/>
        <w:t xml:space="preserve">medidas relativas al sustracción internacional de niños son tramitadas y juzgadas por el 1º Juzgado Federal de las secciones judiciales de la 1ª Región. También en el mismo sentido, el Tribunal Regional Federal de la 2ª Región, que definió, mediante Resolución N° TRF2-RSP-2024/00055, de 4 de julio de 2024, la subespecialización de tres juzgados federales de la capital, otorgándoles competencia exclusiva para tramitar y juzgar acciones civiles e incidentes procesales con base en el Convenio de La Haya (artículo 19, II). </w:t>
      </w:r>
    </w:p>
    <w:p w14:paraId="32B43D24" w14:textId="77777777" w:rsidR="002C1B58" w:rsidRPr="00B06F4F" w:rsidRDefault="002C1B58">
      <w:pPr>
        <w:pStyle w:val="SFPd"/>
        <w:rPr>
          <w:color w:val="000000"/>
          <w:lang w:val="pt-BR"/>
        </w:rPr>
      </w:pPr>
      <w:r w:rsidRPr="00B06F4F">
        <w:rPr>
          <w:color w:val="000000"/>
          <w:lang w:val="pt-BR"/>
        </w:rPr>
        <w:t xml:space="preserve">        </w:t>
      </w:r>
    </w:p>
    <w:p w14:paraId="479A6B24" w14:textId="77777777" w:rsidR="002C1B58" w:rsidRPr="00B06F4F" w:rsidRDefault="002C1B58">
      <w:pPr>
        <w:pStyle w:val="SFPd"/>
        <w:rPr>
          <w:color w:val="000000"/>
          <w:lang w:val="pt-BR"/>
        </w:rPr>
      </w:pPr>
      <w:r>
        <w:rPr>
          <w:color w:val="000000"/>
          <w:lang w:val="pt-BR"/>
        </w:rPr>
        <w:t xml:space="preserve">70. La misma medida de concentración de competencia debe extenderse al segundo nivel de jurisdicción, definiendo el panel de jueces especializado para los temas cubiertos por el Convenio de La Haya de 1980, a fin de permitir una resolución más rápida y eficiente de las apelaciones contra decisiones sobre restitución de niños. </w:t>
      </w:r>
    </w:p>
    <w:p w14:paraId="0A0D0E7C" w14:textId="77777777" w:rsidR="002C1B58" w:rsidRPr="00B06F4F" w:rsidRDefault="002C1B58">
      <w:pPr>
        <w:pStyle w:val="SFPd"/>
        <w:rPr>
          <w:color w:val="000000"/>
          <w:lang w:val="pt-BR"/>
        </w:rPr>
      </w:pPr>
      <w:r w:rsidRPr="00B06F4F">
        <w:rPr>
          <w:color w:val="000000"/>
          <w:lang w:val="pt-BR"/>
        </w:rPr>
        <w:t xml:space="preserve">        </w:t>
      </w:r>
    </w:p>
    <w:p w14:paraId="31F16CAF" w14:textId="77777777" w:rsidR="002C1B58" w:rsidRPr="00B06F4F" w:rsidRDefault="002C1B58">
      <w:pPr>
        <w:pStyle w:val="SFPd"/>
        <w:rPr>
          <w:color w:val="000000"/>
          <w:lang w:val="pt-BR"/>
        </w:rPr>
      </w:pPr>
      <w:r>
        <w:rPr>
          <w:color w:val="000000"/>
          <w:lang w:val="pt-BR"/>
        </w:rPr>
        <w:t>71. Por lo tanto, también es necesario determinar que las Presidencias de los Tribunales Regionales Federales que aún no lo hayan hecho emitan una resolución para concentrar todas las acciones civiles sobre restitución internacional de niños en uno o más tribunales de la capital, en el 1.er nivel de jurisdicción, y en uno o más tribunales, en el 2.° nivel de jurisdicción.</w:t>
      </w:r>
    </w:p>
    <w:p w14:paraId="15E353E9" w14:textId="77777777" w:rsidR="002C1B58" w:rsidRPr="00B06F4F" w:rsidRDefault="002C1B58">
      <w:pPr>
        <w:pStyle w:val="SFPd"/>
        <w:rPr>
          <w:color w:val="000000"/>
          <w:lang w:val="pt-BR"/>
        </w:rPr>
      </w:pPr>
      <w:r w:rsidRPr="00B06F4F">
        <w:rPr>
          <w:color w:val="000000"/>
          <w:lang w:val="pt-BR"/>
        </w:rPr>
        <w:t xml:space="preserve">        </w:t>
      </w:r>
    </w:p>
    <w:p w14:paraId="4D16DF6B" w14:textId="77777777" w:rsidR="002C1B58" w:rsidRPr="00B06F4F" w:rsidRDefault="002C1B58">
      <w:pPr>
        <w:pStyle w:val="SFPd"/>
        <w:rPr>
          <w:color w:val="000000"/>
          <w:lang w:val="pt-BR"/>
        </w:rPr>
      </w:pPr>
      <w:r>
        <w:rPr>
          <w:color w:val="000000"/>
          <w:u w:val="single"/>
          <w:lang w:val="pt-BR"/>
        </w:rPr>
        <w:t>Creación de Centros de Soporte Especializados</w:t>
      </w:r>
    </w:p>
    <w:p w14:paraId="0185FA8B" w14:textId="77777777" w:rsidR="002C1B58" w:rsidRPr="00B06F4F" w:rsidRDefault="002C1B58">
      <w:pPr>
        <w:pStyle w:val="SFPd"/>
        <w:rPr>
          <w:color w:val="000000"/>
          <w:lang w:val="pt-BR"/>
        </w:rPr>
      </w:pPr>
      <w:r w:rsidRPr="00B06F4F">
        <w:rPr>
          <w:color w:val="000000"/>
          <w:lang w:val="pt-BR"/>
        </w:rPr>
        <w:t xml:space="preserve">        </w:t>
      </w:r>
    </w:p>
    <w:p w14:paraId="0BE964D7" w14:textId="77777777" w:rsidR="002C1B58" w:rsidRPr="00B06F4F" w:rsidRDefault="002C1B58">
      <w:pPr>
        <w:pStyle w:val="SFPd"/>
        <w:rPr>
          <w:color w:val="000000"/>
          <w:lang w:val="pt-BR"/>
        </w:rPr>
      </w:pPr>
      <w:r>
        <w:rPr>
          <w:color w:val="000000"/>
          <w:lang w:val="pt-BR"/>
        </w:rPr>
        <w:t>72. La creación de centros de apoyo especializados en los Tribunales Regionales Federales, bajo la coordinación del juez de enlace de la respectiva Región, también constituye una medida instrumental para dar cumplimiento a las obligaciones asumidas por Brasil en el Convenio de La Haya sobre los Aspectos Civiles de la Sustracción Internacional de Menores.</w:t>
      </w:r>
    </w:p>
    <w:p w14:paraId="13CE4461" w14:textId="77777777" w:rsidR="002C1B58" w:rsidRPr="00B06F4F" w:rsidRDefault="002C1B58">
      <w:pPr>
        <w:pStyle w:val="SFPd"/>
        <w:rPr>
          <w:color w:val="000000"/>
          <w:lang w:val="pt-BR"/>
        </w:rPr>
      </w:pPr>
      <w:r w:rsidRPr="00B06F4F">
        <w:rPr>
          <w:color w:val="000000"/>
          <w:lang w:val="pt-BR"/>
        </w:rPr>
        <w:t xml:space="preserve">        </w:t>
      </w:r>
    </w:p>
    <w:p w14:paraId="6B220C06" w14:textId="77777777" w:rsidR="002C1B58" w:rsidRPr="00B06F4F" w:rsidRDefault="002C1B58">
      <w:pPr>
        <w:pStyle w:val="SFPd"/>
        <w:rPr>
          <w:color w:val="000000"/>
          <w:lang w:val="pt-BR"/>
        </w:rPr>
      </w:pPr>
      <w:r>
        <w:rPr>
          <w:color w:val="000000"/>
          <w:lang w:val="pt-BR"/>
        </w:rPr>
        <w:t>73. Dichos Centros de Soporte Técnico Especializados tendrán tres objetivos principales. En primer lugar, fomentar medidas de conciliación y, en su caso, la adopción de prácticas y metodologías restaurativas compatibles con el principio del interés superior del niño, que tiendan a reducir las resistencias al cumplimiento de las decisiones y faciliten la implementación de salvaguardias en el país de residencia habitual, sin interferir en la competencia jurisdiccional del magistrado natural del caso. En segundo lugar, coordinar la realización de las pericias, con el fin de cualificar la instrucción procesal y asegurar su pertinencia, especialización y rapidez de realización, asegurando además que la pericia sea realizada por profesionales con formación específica en áreas como psicología infantil, violencia doméstica y dinámica familiar transnacional. En tercer lugar, actuar como órgano de apoyo técnico y metodológico a los jueces, sin perjuicio de su competencia jurisdiccional, en conjunto con la Autoridad Central Administrativa Federal y la Red de Jueces de Enlace.</w:t>
      </w:r>
    </w:p>
    <w:p w14:paraId="14342F04" w14:textId="77777777" w:rsidR="002C1B58" w:rsidRPr="00B06F4F" w:rsidRDefault="002C1B58">
      <w:pPr>
        <w:pStyle w:val="SFPd"/>
        <w:rPr>
          <w:color w:val="000000"/>
          <w:lang w:val="pt-BR"/>
        </w:rPr>
      </w:pPr>
      <w:r w:rsidRPr="00B06F4F">
        <w:rPr>
          <w:color w:val="000000"/>
          <w:lang w:val="pt-BR"/>
        </w:rPr>
        <w:lastRenderedPageBreak/>
        <w:t xml:space="preserve">        </w:t>
      </w:r>
    </w:p>
    <w:p w14:paraId="30FC6CD1" w14:textId="77777777" w:rsidR="002C1B58" w:rsidRPr="00B06F4F" w:rsidRDefault="002C1B58">
      <w:pPr>
        <w:pStyle w:val="SFPd"/>
        <w:rPr>
          <w:color w:val="000000"/>
          <w:lang w:val="pt-BR"/>
        </w:rPr>
      </w:pPr>
      <w:r>
        <w:rPr>
          <w:color w:val="000000"/>
          <w:u w:val="single"/>
          <w:lang w:val="pt-BR"/>
        </w:rPr>
        <w:t>Sello de procesamiento preferencial en sistemas de proceso electrónicos.</w:t>
      </w:r>
    </w:p>
    <w:p w14:paraId="5EE768E3" w14:textId="77777777" w:rsidR="002C1B58" w:rsidRPr="00B06F4F" w:rsidRDefault="002C1B58">
      <w:pPr>
        <w:pStyle w:val="SFPd"/>
        <w:rPr>
          <w:color w:val="000000"/>
          <w:lang w:val="pt-BR"/>
        </w:rPr>
      </w:pPr>
      <w:r w:rsidRPr="00B06F4F">
        <w:rPr>
          <w:color w:val="000000"/>
          <w:lang w:val="pt-BR"/>
        </w:rPr>
        <w:t xml:space="preserve">        </w:t>
      </w:r>
    </w:p>
    <w:p w14:paraId="6EAFB9EF" w14:textId="77777777" w:rsidR="002C1B58" w:rsidRPr="00B06F4F" w:rsidRDefault="002C1B58">
      <w:pPr>
        <w:pStyle w:val="SFPd"/>
        <w:rPr>
          <w:color w:val="000000"/>
          <w:lang w:val="pt-BR"/>
        </w:rPr>
      </w:pPr>
      <w:r>
        <w:rPr>
          <w:color w:val="000000"/>
          <w:lang w:val="pt-BR"/>
        </w:rPr>
        <w:t>74. Además, desde el inicio, los órganos del Poder Judicial deben, con el apoyo de la CNJ, adecuar los sistemas de proceso electrónico para permitir la inclusión de sellos de procesamiento preferencial (tags) para todos los procesos que reciban el código de materia “10921 Restitución de Menores, Convenio de La Haya de 1980”, conforme lo establece el art. 27 de la Resolución CNJ N° 449/2022.</w:t>
      </w:r>
    </w:p>
    <w:p w14:paraId="667CEE1F" w14:textId="77777777" w:rsidR="002C1B58" w:rsidRPr="00B06F4F" w:rsidRDefault="002C1B58">
      <w:pPr>
        <w:pStyle w:val="SFPd"/>
        <w:rPr>
          <w:color w:val="000000"/>
          <w:lang w:val="pt-BR"/>
        </w:rPr>
      </w:pPr>
      <w:r w:rsidRPr="00B06F4F">
        <w:rPr>
          <w:color w:val="000000"/>
          <w:lang w:val="pt-BR"/>
        </w:rPr>
        <w:t xml:space="preserve">        </w:t>
      </w:r>
    </w:p>
    <w:p w14:paraId="61C81578" w14:textId="77777777" w:rsidR="002C1B58" w:rsidRPr="00B06F4F" w:rsidRDefault="002C1B58">
      <w:pPr>
        <w:pStyle w:val="SFPd"/>
        <w:rPr>
          <w:color w:val="000000"/>
          <w:lang w:val="pt-BR"/>
        </w:rPr>
      </w:pPr>
      <w:r>
        <w:rPr>
          <w:color w:val="000000"/>
          <w:u w:val="single"/>
          <w:lang w:val="pt-BR"/>
        </w:rPr>
        <w:t>Fortalecimiento de las actividades de ACAF por parte del Poder Ejecutivo</w:t>
      </w:r>
    </w:p>
    <w:p w14:paraId="53EC803F" w14:textId="77777777" w:rsidR="002C1B58" w:rsidRPr="00B06F4F" w:rsidRDefault="002C1B58">
      <w:pPr>
        <w:pStyle w:val="SFPd"/>
        <w:rPr>
          <w:color w:val="000000"/>
          <w:lang w:val="pt-BR"/>
        </w:rPr>
      </w:pPr>
      <w:r w:rsidRPr="00B06F4F">
        <w:rPr>
          <w:color w:val="000000"/>
          <w:lang w:val="pt-BR"/>
        </w:rPr>
        <w:t xml:space="preserve">        </w:t>
      </w:r>
    </w:p>
    <w:p w14:paraId="3300E10E" w14:textId="77777777" w:rsidR="002C1B58" w:rsidRPr="00B06F4F" w:rsidRDefault="002C1B58">
      <w:pPr>
        <w:pStyle w:val="SFPd"/>
        <w:rPr>
          <w:color w:val="000000"/>
          <w:lang w:val="pt-BR"/>
        </w:rPr>
      </w:pPr>
      <w:r>
        <w:rPr>
          <w:color w:val="000000"/>
          <w:lang w:val="pt-BR"/>
        </w:rPr>
        <w:t xml:space="preserve">75. En el ámbito del Poder Ejecutivo, para una aplicación más rápida del Convenio de La Haya de 1980, es necesario considerar la adopción de medidas adicionales para equipar al ACAF y hacerlo más eficiente[45]. Después de todo, los artículos 6 y 7 del Convenio de La Haya de 1980 confieren un papel importante a las autoridades centrales. Son responsables de adoptar medidas apropiadas y efectivas para facilitar la restitución del niño o la protección de los derechos de visita, tales como: a) localizar a los niños trasladados o retenidos ilegalmente; b) adoptar o recomendar la adopción de medidas preventivas; c) facilitar la entrega voluntaria del niño y fomentar la búsqueda de soluciones consensuadas; y d) iniciar o fomentar la apertura de procedimientos judiciales o administrativos encaminados a la restitución del niño. </w:t>
      </w:r>
    </w:p>
    <w:p w14:paraId="43C6ACB4" w14:textId="77777777" w:rsidR="002C1B58" w:rsidRPr="00B06F4F" w:rsidRDefault="002C1B58">
      <w:pPr>
        <w:pStyle w:val="SFPd"/>
        <w:rPr>
          <w:color w:val="000000"/>
          <w:lang w:val="pt-BR"/>
        </w:rPr>
      </w:pPr>
      <w:r w:rsidRPr="00B06F4F">
        <w:rPr>
          <w:color w:val="000000"/>
          <w:lang w:val="pt-BR"/>
        </w:rPr>
        <w:t xml:space="preserve">        </w:t>
      </w:r>
    </w:p>
    <w:p w14:paraId="37DC4E55" w14:textId="77777777" w:rsidR="002C1B58" w:rsidRPr="00B06F4F" w:rsidRDefault="002C1B58">
      <w:pPr>
        <w:pStyle w:val="SFPd"/>
        <w:rPr>
          <w:color w:val="000000"/>
          <w:lang w:val="pt-BR"/>
        </w:rPr>
      </w:pPr>
      <w:r>
        <w:rPr>
          <w:color w:val="000000"/>
          <w:lang w:val="pt-BR"/>
        </w:rPr>
        <w:t>76. Por lo tanto, el Poder Ejecutivo debe estar decidido a evaluar la posibilidad de incorporar los siguientes lineamientos, que reflejan prácticas exitosas en otros países:</w:t>
      </w:r>
    </w:p>
    <w:p w14:paraId="19B5DDA9" w14:textId="77777777" w:rsidR="002C1B58" w:rsidRPr="00B06F4F" w:rsidRDefault="002C1B58">
      <w:pPr>
        <w:pStyle w:val="SFPd"/>
        <w:rPr>
          <w:color w:val="000000"/>
          <w:lang w:val="pt-BR"/>
        </w:rPr>
      </w:pPr>
      <w:r w:rsidRPr="00B06F4F">
        <w:rPr>
          <w:color w:val="000000"/>
          <w:lang w:val="pt-BR"/>
        </w:rPr>
        <w:t xml:space="preserve">        </w:t>
      </w:r>
    </w:p>
    <w:p w14:paraId="71055A82" w14:textId="77777777" w:rsidR="002C1B58" w:rsidRPr="00B06F4F" w:rsidRDefault="002C1B58">
      <w:pPr>
        <w:pStyle w:val="SFCto"/>
        <w:rPr>
          <w:color w:val="000000"/>
          <w:lang w:val="pt-BR"/>
        </w:rPr>
      </w:pPr>
      <w:r>
        <w:rPr>
          <w:i/>
          <w:iCs/>
          <w:color w:val="000000"/>
          <w:lang w:val="pt-BR"/>
        </w:rPr>
        <w:t xml:space="preserve">1) Medidas de infraestructura en relación con la autoridad central: </w:t>
      </w:r>
    </w:p>
    <w:p w14:paraId="756E1D51" w14:textId="77777777" w:rsidR="002C1B58" w:rsidRPr="00B06F4F" w:rsidRDefault="002C1B58">
      <w:pPr>
        <w:pStyle w:val="SFCto"/>
        <w:rPr>
          <w:color w:val="000000"/>
          <w:lang w:val="pt-BR"/>
        </w:rPr>
      </w:pPr>
      <w:r>
        <w:rPr>
          <w:color w:val="000000"/>
          <w:lang w:val="pt-BR"/>
        </w:rPr>
        <w:t>1.1. Adoptar medidas estructurales y administrativas para fortalecer el desempeño de la Autoridad Administrativa Central Federal (ACAF), con la definición de metas, cronograma e indicadores de desempeño, a fin de posibilitar el cumplimiento de las obligaciones establecidas en el Convenio;</w:t>
      </w:r>
    </w:p>
    <w:p w14:paraId="1C67A271" w14:textId="77777777" w:rsidR="002C1B58" w:rsidRPr="00B06F4F" w:rsidRDefault="002C1B58">
      <w:pPr>
        <w:pStyle w:val="SFCto"/>
        <w:rPr>
          <w:color w:val="000000"/>
          <w:lang w:val="pt-BR"/>
        </w:rPr>
      </w:pPr>
      <w:r>
        <w:rPr>
          <w:color w:val="000000"/>
          <w:lang w:val="pt-BR"/>
        </w:rPr>
        <w:t>1.2. Regular la formación de los empleados del personal de la autoridad central, tomando como parámetro los casos de éxito en la rápida aplicación del Convenio por otros Estados;</w:t>
      </w:r>
    </w:p>
    <w:p w14:paraId="4ECF7FD3" w14:textId="77777777" w:rsidR="002C1B58" w:rsidRPr="00B06F4F" w:rsidRDefault="002C1B58">
      <w:pPr>
        <w:pStyle w:val="SFCto"/>
        <w:rPr>
          <w:color w:val="000000"/>
          <w:lang w:val="pt-BR"/>
        </w:rPr>
      </w:pPr>
      <w:r>
        <w:rPr>
          <w:i/>
          <w:iCs/>
          <w:color w:val="000000"/>
          <w:lang w:val="pt-BR"/>
        </w:rPr>
        <w:t xml:space="preserve">2) Medidas para agilizar el procedimiento: </w:t>
      </w:r>
    </w:p>
    <w:p w14:paraId="09679307" w14:textId="77777777" w:rsidR="002C1B58" w:rsidRPr="00B06F4F" w:rsidRDefault="002C1B58">
      <w:pPr>
        <w:pStyle w:val="SFCto"/>
        <w:rPr>
          <w:color w:val="000000"/>
          <w:lang w:val="pt-BR"/>
        </w:rPr>
      </w:pPr>
      <w:r>
        <w:rPr>
          <w:color w:val="000000"/>
          <w:lang w:val="pt-BR"/>
        </w:rPr>
        <w:t xml:space="preserve">2.1. Aceptación de pedidos mediante formulario electrónico, con posibilidad de envío posterior de documentos por correo, si es </w:t>
      </w:r>
      <w:r>
        <w:rPr>
          <w:color w:val="000000"/>
          <w:lang w:val="pt-BR"/>
        </w:rPr>
        <w:lastRenderedPageBreak/>
        <w:t>necesario;</w:t>
      </w:r>
    </w:p>
    <w:p w14:paraId="6580310F" w14:textId="77777777" w:rsidR="002C1B58" w:rsidRPr="00B06F4F" w:rsidRDefault="002C1B58">
      <w:pPr>
        <w:pStyle w:val="SFCto"/>
        <w:rPr>
          <w:color w:val="000000"/>
          <w:lang w:val="pt-BR"/>
        </w:rPr>
      </w:pPr>
      <w:r>
        <w:rPr>
          <w:color w:val="000000"/>
          <w:lang w:val="pt-BR"/>
        </w:rPr>
        <w:t>2.2. En caso de información incompleta en la solicitud de cooperación, iniciar el procedimiento de localización del niño, contactando a Policía Federal/Interpol, solicitando simultáneamente más información a la autoridad central solicitante[46];</w:t>
      </w:r>
    </w:p>
    <w:p w14:paraId="01E6EB2A" w14:textId="77777777" w:rsidR="002C1B58" w:rsidRPr="00B06F4F" w:rsidRDefault="002C1B58">
      <w:pPr>
        <w:pStyle w:val="SFCto"/>
        <w:rPr>
          <w:color w:val="000000"/>
          <w:lang w:val="pt-BR"/>
        </w:rPr>
      </w:pPr>
      <w:r>
        <w:rPr>
          <w:color w:val="000000"/>
          <w:lang w:val="pt-BR"/>
        </w:rPr>
        <w:t>2.3. Proseguir con el procedimiento judicial en un breve espacio de tiempo, luego del fracaso del intento de retorno voluntario;</w:t>
      </w:r>
    </w:p>
    <w:p w14:paraId="12D84E27" w14:textId="77777777" w:rsidR="002C1B58" w:rsidRPr="00B06F4F" w:rsidRDefault="002C1B58">
      <w:pPr>
        <w:pStyle w:val="SFCto"/>
        <w:rPr>
          <w:color w:val="000000"/>
          <w:lang w:val="pt-BR"/>
        </w:rPr>
      </w:pPr>
      <w:r>
        <w:rPr>
          <w:color w:val="000000"/>
          <w:lang w:val="pt-BR"/>
        </w:rPr>
        <w:t>2.4. Tener acceso directo a registros públicos que faciliten la ubicación del niño y del padre sustractor, como registros de inmigración Policía Federal y registros electrónicos de asistencia social del gobierno.</w:t>
      </w:r>
    </w:p>
    <w:p w14:paraId="0F3AE1E0" w14:textId="77777777" w:rsidR="002C1B58" w:rsidRPr="00B06F4F" w:rsidRDefault="002C1B58">
      <w:pPr>
        <w:pStyle w:val="SFCto"/>
        <w:rPr>
          <w:color w:val="000000"/>
          <w:lang w:val="pt-BR"/>
        </w:rPr>
      </w:pPr>
      <w:r>
        <w:rPr>
          <w:i/>
          <w:iCs/>
          <w:color w:val="000000"/>
          <w:lang w:val="pt-BR"/>
        </w:rPr>
        <w:t>3) Medidas encaminadas a estructurar y ejecutar procedimientos de mediación por parte de la autoridad central [47]</w:t>
      </w:r>
    </w:p>
    <w:p w14:paraId="60F7FF3A" w14:textId="77777777" w:rsidR="002C1B58" w:rsidRPr="00B06F4F" w:rsidRDefault="002C1B58">
      <w:pPr>
        <w:pStyle w:val="SFCto"/>
        <w:rPr>
          <w:color w:val="000000"/>
          <w:lang w:val="pt-BR"/>
        </w:rPr>
      </w:pPr>
      <w:r>
        <w:rPr>
          <w:color w:val="000000"/>
          <w:lang w:val="pt-BR"/>
        </w:rPr>
        <w:t xml:space="preserve">3.1. Realizar la mediación por un equipo multidisciplinario calificado, compuesto por al menos una licenciatura en derecho y un profesional de la psicología;  </w:t>
      </w:r>
    </w:p>
    <w:p w14:paraId="25073E65" w14:textId="77777777" w:rsidR="002C1B58" w:rsidRPr="00B06F4F" w:rsidRDefault="002C1B58">
      <w:pPr>
        <w:pStyle w:val="SFCto"/>
        <w:rPr>
          <w:color w:val="000000"/>
          <w:lang w:val="pt-BR"/>
        </w:rPr>
      </w:pPr>
      <w:r>
        <w:rPr>
          <w:color w:val="000000"/>
          <w:lang w:val="pt-BR"/>
        </w:rPr>
        <w:t>3.2. Mantenimiento de un equipo permanente especializado en mediaciones relacionadas con casos del Convenio de La Haya, o la creación de un registro nacional de mediadores especializados;</w:t>
      </w:r>
    </w:p>
    <w:p w14:paraId="21F178DE" w14:textId="77777777" w:rsidR="002C1B58" w:rsidRPr="00B06F4F" w:rsidRDefault="002C1B58">
      <w:pPr>
        <w:pStyle w:val="SFCto"/>
        <w:rPr>
          <w:color w:val="000000"/>
          <w:lang w:val="pt-BR"/>
        </w:rPr>
      </w:pPr>
      <w:r>
        <w:rPr>
          <w:color w:val="000000"/>
          <w:lang w:val="pt-BR"/>
        </w:rPr>
        <w:t xml:space="preserve">3.3. Definición de un plazo máximo para la obtención de una solución amistosa, con un parámetro razonable de dos semanas; </w:t>
      </w:r>
    </w:p>
    <w:p w14:paraId="47B69DC3" w14:textId="77777777" w:rsidR="002C1B58" w:rsidRPr="00B06F4F" w:rsidRDefault="002C1B58">
      <w:pPr>
        <w:pStyle w:val="SFCto"/>
        <w:rPr>
          <w:color w:val="000000"/>
          <w:lang w:val="pt-BR"/>
        </w:rPr>
      </w:pPr>
      <w:r>
        <w:rPr>
          <w:color w:val="000000"/>
          <w:lang w:val="pt-BR"/>
        </w:rPr>
        <w:t>3.4. Definición de una metodología para la mediación;[48]</w:t>
      </w:r>
    </w:p>
    <w:p w14:paraId="43CF15C2" w14:textId="77777777" w:rsidR="002C1B58" w:rsidRPr="00B06F4F" w:rsidRDefault="002C1B58">
      <w:pPr>
        <w:pStyle w:val="SFCto"/>
        <w:rPr>
          <w:color w:val="000000"/>
          <w:lang w:val="pt-BR"/>
        </w:rPr>
      </w:pPr>
      <w:r>
        <w:rPr>
          <w:color w:val="000000"/>
          <w:lang w:val="pt-BR"/>
        </w:rPr>
        <w:t>3.5. El coste de la mediación por el Ministerio de Justicia, en caso de insuficiente suficiencia de las partes;</w:t>
      </w:r>
    </w:p>
    <w:p w14:paraId="7A829E19" w14:textId="77777777" w:rsidR="002C1B58" w:rsidRPr="00B06F4F" w:rsidRDefault="002C1B58">
      <w:pPr>
        <w:pStyle w:val="SFPd"/>
        <w:rPr>
          <w:color w:val="000000"/>
          <w:lang w:val="pt-BR"/>
        </w:rPr>
      </w:pPr>
      <w:r w:rsidRPr="00B06F4F">
        <w:rPr>
          <w:color w:val="000000"/>
          <w:lang w:val="pt-BR"/>
        </w:rPr>
        <w:t xml:space="preserve">        </w:t>
      </w:r>
    </w:p>
    <w:p w14:paraId="7FF81120" w14:textId="77777777" w:rsidR="002C1B58" w:rsidRPr="00B06F4F" w:rsidRDefault="002C1B58">
      <w:pPr>
        <w:pStyle w:val="SFPd"/>
        <w:rPr>
          <w:color w:val="000000"/>
          <w:lang w:val="pt-BR"/>
        </w:rPr>
      </w:pPr>
      <w:r>
        <w:rPr>
          <w:color w:val="000000"/>
          <w:u w:val="single"/>
          <w:lang w:val="pt-BR"/>
        </w:rPr>
        <w:t>Evaluación sobre la incorporación del Convenio de La Haya de 1996</w:t>
      </w:r>
    </w:p>
    <w:p w14:paraId="6AB5F621" w14:textId="77777777" w:rsidR="002C1B58" w:rsidRPr="00B06F4F" w:rsidRDefault="002C1B58">
      <w:pPr>
        <w:pStyle w:val="SFPd"/>
        <w:rPr>
          <w:color w:val="000000"/>
          <w:lang w:val="pt-BR"/>
        </w:rPr>
      </w:pPr>
      <w:r w:rsidRPr="00B06F4F">
        <w:rPr>
          <w:color w:val="000000"/>
          <w:lang w:val="pt-BR"/>
        </w:rPr>
        <w:t xml:space="preserve">        </w:t>
      </w:r>
    </w:p>
    <w:p w14:paraId="61B0336B" w14:textId="77777777" w:rsidR="002C1B58" w:rsidRPr="00B06F4F" w:rsidRDefault="002C1B58">
      <w:pPr>
        <w:pStyle w:val="SFPd"/>
        <w:rPr>
          <w:color w:val="000000"/>
          <w:lang w:val="pt-BR"/>
        </w:rPr>
      </w:pPr>
      <w:r>
        <w:rPr>
          <w:color w:val="000000"/>
          <w:lang w:val="pt-BR"/>
        </w:rPr>
        <w:t xml:space="preserve">77. Como se ve, Brasil aún no ha incorporado a su ordenamiento jurídico el Convenio de La Haya de 1996, también conocido como Convenio sobre Protección de la Infancia. Este instrumento, ya ratificado por la mayoría de los países europeos, complementa sustancialmente el Convenio de La Haya de 1980, especialmente al regular la competencia, la ley aplicable, el reconocimiento, la ejecución y la cooperación en materia de responsabilidad parental y medidas de protección de menores. </w:t>
      </w:r>
    </w:p>
    <w:p w14:paraId="3FB16B22" w14:textId="77777777" w:rsidR="002C1B58" w:rsidRPr="00B06F4F" w:rsidRDefault="002C1B58">
      <w:pPr>
        <w:pStyle w:val="SFPd"/>
        <w:rPr>
          <w:color w:val="000000"/>
          <w:lang w:val="pt-BR"/>
        </w:rPr>
      </w:pPr>
      <w:r w:rsidRPr="00B06F4F">
        <w:rPr>
          <w:color w:val="000000"/>
          <w:lang w:val="pt-BR"/>
        </w:rPr>
        <w:t xml:space="preserve">        </w:t>
      </w:r>
    </w:p>
    <w:p w14:paraId="1467DA56" w14:textId="77777777" w:rsidR="002C1B58" w:rsidRPr="00B06F4F" w:rsidRDefault="002C1B58">
      <w:pPr>
        <w:pStyle w:val="SFPd"/>
        <w:rPr>
          <w:color w:val="000000"/>
          <w:lang w:val="pt-BR"/>
        </w:rPr>
      </w:pPr>
      <w:r>
        <w:rPr>
          <w:color w:val="000000"/>
          <w:lang w:val="pt-BR"/>
        </w:rPr>
        <w:t xml:space="preserve">78. La Convención de 1996 establece reglas de competencia que permiten al tribunal del Estado donde se encuentra el niño adoptar medidas urgentes, garantizando que sean reconocidas y puedan ser ejecutadas en otros Estados Partes, de conformidad con la legislación local (las llamadas “órdenes espejo” – mirrororders)[49]. Su principal mérito radica en fortalecer la cooperación internacional en el período posterior a la restitución del niño, permitiendo la adopción de medidas concretas que promuevan la estabilidad y la reunificación de los vínculos parentales, y ofreciendo a los </w:t>
      </w:r>
      <w:r>
        <w:rPr>
          <w:color w:val="000000"/>
          <w:lang w:val="pt-BR"/>
        </w:rPr>
        <w:lastRenderedPageBreak/>
        <w:t>Estados firmantes un marco normativo más sólido para proteger a los niños en contextos transnacionales. La internalización de la Convención de 1996 por parte de Brasil, por lo tanto, representaría un avance estratégico, alineando al país con las mejores prácticas internacionales en el campo de la protección integral de la niñez.</w:t>
      </w:r>
    </w:p>
    <w:p w14:paraId="6F2FC6B1" w14:textId="77777777" w:rsidR="002C1B58" w:rsidRPr="00B06F4F" w:rsidRDefault="002C1B58">
      <w:pPr>
        <w:pStyle w:val="SFPd"/>
        <w:rPr>
          <w:color w:val="000000"/>
          <w:lang w:val="pt-BR"/>
        </w:rPr>
      </w:pPr>
      <w:r w:rsidRPr="00B06F4F">
        <w:rPr>
          <w:color w:val="000000"/>
          <w:lang w:val="pt-BR"/>
        </w:rPr>
        <w:t xml:space="preserve">        </w:t>
      </w:r>
    </w:p>
    <w:p w14:paraId="16E67003" w14:textId="77777777" w:rsidR="002C1B58" w:rsidRPr="00B06F4F" w:rsidRDefault="002C1B58">
      <w:pPr>
        <w:pStyle w:val="SFPd"/>
        <w:rPr>
          <w:color w:val="000000"/>
          <w:lang w:val="pt-BR"/>
        </w:rPr>
      </w:pPr>
      <w:r>
        <w:rPr>
          <w:color w:val="000000"/>
          <w:lang w:val="pt-BR"/>
        </w:rPr>
        <w:t>79. El Poder Ejecutivo debe promover un análisis técnico e institucional sobre la conveniencia de la adhesión del Estado brasileño a la Convención de La Haya de 1996, remitiendo, si corresponde, un informe concluyente a los Jefes de los Poderes Ejecutivo, Legislativo y Judicial, con miras a la posible internalización del tratado, en línea con los compromisos internacionales de Brasil en el área de protección integral de la infancia.</w:t>
      </w:r>
    </w:p>
    <w:p w14:paraId="2163D25F" w14:textId="77777777" w:rsidR="002C1B58" w:rsidRPr="00B06F4F" w:rsidRDefault="002C1B58">
      <w:pPr>
        <w:pStyle w:val="SFPd"/>
        <w:rPr>
          <w:color w:val="000000"/>
          <w:lang w:val="pt-BR"/>
        </w:rPr>
      </w:pPr>
      <w:r w:rsidRPr="00B06F4F">
        <w:rPr>
          <w:color w:val="000000"/>
          <w:lang w:val="pt-BR"/>
        </w:rPr>
        <w:t xml:space="preserve">        </w:t>
      </w:r>
    </w:p>
    <w:p w14:paraId="0D8A5198" w14:textId="77777777" w:rsidR="002C1B58" w:rsidRPr="00B06F4F" w:rsidRDefault="002C1B58">
      <w:pPr>
        <w:pStyle w:val="SFPd"/>
        <w:rPr>
          <w:color w:val="000000"/>
          <w:lang w:val="pt-BR"/>
        </w:rPr>
      </w:pPr>
      <w:r>
        <w:rPr>
          <w:color w:val="000000"/>
          <w:lang w:val="pt-BR"/>
        </w:rPr>
        <w:t>II.2. La cuestión de la interpretación y aplicación de la excepción de grave riesgo para el niño, especialmente en los casos de violencia doméstica contra la madre</w:t>
      </w:r>
    </w:p>
    <w:p w14:paraId="0E68E7D9" w14:textId="77777777" w:rsidR="002C1B58" w:rsidRPr="00B06F4F" w:rsidRDefault="002C1B58">
      <w:pPr>
        <w:pStyle w:val="SFPd"/>
        <w:rPr>
          <w:color w:val="000000"/>
          <w:lang w:val="pt-BR"/>
        </w:rPr>
      </w:pPr>
      <w:r w:rsidRPr="00B06F4F">
        <w:rPr>
          <w:color w:val="000000"/>
          <w:lang w:val="pt-BR"/>
        </w:rPr>
        <w:t xml:space="preserve">        </w:t>
      </w:r>
    </w:p>
    <w:p w14:paraId="69932913" w14:textId="77777777" w:rsidR="002C1B58" w:rsidRPr="00B06F4F" w:rsidRDefault="002C1B58">
      <w:pPr>
        <w:pStyle w:val="SFPd"/>
        <w:rPr>
          <w:color w:val="000000"/>
          <w:lang w:val="pt-BR"/>
        </w:rPr>
      </w:pPr>
      <w:r>
        <w:rPr>
          <w:color w:val="000000"/>
          <w:lang w:val="pt-BR"/>
        </w:rPr>
        <w:t>80. Como se ha visto, el artículo 13 (1) (b) del Convenio establece que un Estado no está obligado a ordenar el retorno del niño al Estado de residencia habitual cuando se pruebe “que existe un grave riesgo de que el retorno del niño lo exponga a un peligro físico o psíquico o que, de cualquier otra manera, lo ponga en una situación intolerable”[50]. Se trata de la denominada excepción de riesgo grave para el niño. La interpretación y aplicación de esta disposición se impugnan tanto en la ADI 4.245 como en la ADI 7.668.</w:t>
      </w:r>
    </w:p>
    <w:p w14:paraId="4D9BB56A" w14:textId="77777777" w:rsidR="002C1B58" w:rsidRPr="00B06F4F" w:rsidRDefault="002C1B58">
      <w:pPr>
        <w:pStyle w:val="SFPd"/>
        <w:rPr>
          <w:color w:val="000000"/>
          <w:lang w:val="pt-BR"/>
        </w:rPr>
      </w:pPr>
      <w:r w:rsidRPr="00B06F4F">
        <w:rPr>
          <w:color w:val="000000"/>
          <w:lang w:val="pt-BR"/>
        </w:rPr>
        <w:t xml:space="preserve">        </w:t>
      </w:r>
    </w:p>
    <w:p w14:paraId="698B727B" w14:textId="77777777" w:rsidR="002C1B58" w:rsidRPr="00B06F4F" w:rsidRDefault="002C1B58">
      <w:pPr>
        <w:pStyle w:val="SFPd"/>
        <w:rPr>
          <w:color w:val="000000"/>
          <w:lang w:val="pt-BR"/>
        </w:rPr>
      </w:pPr>
      <w:r>
        <w:rPr>
          <w:color w:val="000000"/>
          <w:lang w:val="pt-BR"/>
        </w:rPr>
        <w:t xml:space="preserve">81. En ADI 4.245, el solicitante postula que se dé una interpretación conforme al artículo 13 (1) (b) de conformidad con la Constitución para dar una interpretación amplia, y no restrictiva, a las posibles hipótesis de caracterizar un peligro físico o psicológico para el niño o una situación intolerable, ya que el objetivo de tales excepciones es proteger los derechos del niño, bajo pena de violación de los arts. 1º, III (dignidad de la persona humana); 5°, LIV y LV (debido proceso judicial, defensa contradictoria y plena); y 227 de la Constitución (prioridad absoluta a los derechos de la niñez y la adolescencia). </w:t>
      </w:r>
    </w:p>
    <w:p w14:paraId="25B3C3C2" w14:textId="77777777" w:rsidR="002C1B58" w:rsidRPr="00B06F4F" w:rsidRDefault="002C1B58">
      <w:pPr>
        <w:pStyle w:val="SFPd"/>
        <w:rPr>
          <w:color w:val="000000"/>
          <w:lang w:val="pt-BR"/>
        </w:rPr>
      </w:pPr>
      <w:r w:rsidRPr="00B06F4F">
        <w:rPr>
          <w:color w:val="000000"/>
          <w:lang w:val="pt-BR"/>
        </w:rPr>
        <w:t xml:space="preserve">        </w:t>
      </w:r>
    </w:p>
    <w:p w14:paraId="7C69B29A" w14:textId="77777777" w:rsidR="002C1B58" w:rsidRPr="00B06F4F" w:rsidRDefault="002C1B58">
      <w:pPr>
        <w:pStyle w:val="SFPd"/>
        <w:rPr>
          <w:color w:val="000000"/>
          <w:lang w:val="pt-BR"/>
        </w:rPr>
      </w:pPr>
      <w:r>
        <w:rPr>
          <w:color w:val="000000"/>
          <w:lang w:val="pt-BR"/>
        </w:rPr>
        <w:t xml:space="preserve">82. En ADI 7.686, el demandante sostiene que la excepción prevista en el artículo 13 (1) (b) también se aplicaría cuando el niño no es la víctima principal directa o no está expuesto a un peligro. En este sentido, la situación de violencia doméstica vivida por la madre debe tenerse en cuenta a la hora de analizar las solicitudes de restitución con base en la Convención, por lo que la disposición debe interpretarse de conformidad con el art. 1º, III (dignidad de la persona humana); arte. 4º, II (prevalencia de los derechos humanos en las relaciones internacionales); arte. 226, § 8 (asistencia a la familia y </w:t>
      </w:r>
      <w:r>
        <w:rPr>
          <w:color w:val="000000"/>
          <w:lang w:val="pt-BR"/>
        </w:rPr>
        <w:lastRenderedPageBreak/>
        <w:t>mecanismos para frenar la violencia en sus relaciones), y art. 227, caput (prioridad absoluta a los derechos de la niñez y la adolescencia).</w:t>
      </w:r>
    </w:p>
    <w:p w14:paraId="7DF5C8EF" w14:textId="77777777" w:rsidR="002C1B58" w:rsidRPr="00B06F4F" w:rsidRDefault="002C1B58">
      <w:pPr>
        <w:pStyle w:val="SFPd"/>
        <w:rPr>
          <w:color w:val="000000"/>
          <w:lang w:val="pt-BR"/>
        </w:rPr>
      </w:pPr>
      <w:r w:rsidRPr="00B06F4F">
        <w:rPr>
          <w:color w:val="000000"/>
          <w:lang w:val="pt-BR"/>
        </w:rPr>
        <w:t xml:space="preserve">        </w:t>
      </w:r>
    </w:p>
    <w:p w14:paraId="592A76ED" w14:textId="77777777" w:rsidR="002C1B58" w:rsidRPr="00B06F4F" w:rsidRDefault="002C1B58">
      <w:pPr>
        <w:pStyle w:val="SFPd"/>
        <w:rPr>
          <w:color w:val="000000"/>
          <w:lang w:val="pt-BR"/>
        </w:rPr>
      </w:pPr>
      <w:r>
        <w:rPr>
          <w:color w:val="000000"/>
          <w:lang w:val="pt-BR"/>
        </w:rPr>
        <w:t>83. El dispositivo describe tres posibles riesgos que autorizan la no devolución: a) riesgo grave de que el niño, al regresar, quede sujeto a peligros físicos; b) riesgo grave de que el niño, al regresar, esté expuesto a peligros psicológicos; c) riesgo grave de que el niño, al regresar, quede en una situación intolerable[51]. Dentro de la comunidad jurídica internacional, existe entendimiento para adoptar una interpretación restrictiva de las normas que tratan de la excepción a la restitución del niño, incluida la prevista en el artículo 13(1)(b), so pena de subvertir los propósitos de la Convención. Esto significa que sólo situaciones excepcionales pueden dar lugar a una negativa de retorno.</w:t>
      </w:r>
    </w:p>
    <w:p w14:paraId="4D2156E9" w14:textId="77777777" w:rsidR="002C1B58" w:rsidRPr="00B06F4F" w:rsidRDefault="002C1B58">
      <w:pPr>
        <w:pStyle w:val="SFPd"/>
        <w:rPr>
          <w:color w:val="000000"/>
          <w:lang w:val="pt-BR"/>
        </w:rPr>
      </w:pPr>
      <w:r w:rsidRPr="00B06F4F">
        <w:rPr>
          <w:color w:val="000000"/>
          <w:lang w:val="pt-BR"/>
        </w:rPr>
        <w:t xml:space="preserve">        </w:t>
      </w:r>
    </w:p>
    <w:p w14:paraId="1310094E" w14:textId="77777777" w:rsidR="002C1B58" w:rsidRPr="00B06F4F" w:rsidRDefault="002C1B58">
      <w:pPr>
        <w:pStyle w:val="SFPd"/>
        <w:rPr>
          <w:color w:val="000000"/>
          <w:lang w:val="pt-BR"/>
        </w:rPr>
      </w:pPr>
      <w:r>
        <w:rPr>
          <w:color w:val="000000"/>
          <w:lang w:val="pt-BR"/>
        </w:rPr>
        <w:t>84. Sin embargo, no existen parámetros claros y seguros sobre la aplicación de la excepción de riesgo grave del Convenio de La Haya de 1980 en los casos en que se alega violencia doméstica contra la madre. Esta brecha crea desafíos interpretativos y requiere sensibilidad por parte del juez para armonizar la cooperación jurídica internacional con la protección de la víctima y sus hijos.</w:t>
      </w:r>
    </w:p>
    <w:p w14:paraId="6941B4F3" w14:textId="77777777" w:rsidR="002C1B58" w:rsidRPr="00B06F4F" w:rsidRDefault="002C1B58">
      <w:pPr>
        <w:pStyle w:val="SFPd"/>
        <w:rPr>
          <w:color w:val="000000"/>
          <w:lang w:val="pt-BR"/>
        </w:rPr>
      </w:pPr>
      <w:r w:rsidRPr="00B06F4F">
        <w:rPr>
          <w:color w:val="000000"/>
          <w:lang w:val="pt-BR"/>
        </w:rPr>
        <w:t xml:space="preserve">        </w:t>
      </w:r>
    </w:p>
    <w:p w14:paraId="18C7B049" w14:textId="77777777" w:rsidR="002C1B58" w:rsidRPr="00B06F4F" w:rsidRDefault="002C1B58">
      <w:pPr>
        <w:pStyle w:val="SFPd"/>
        <w:rPr>
          <w:color w:val="000000"/>
          <w:lang w:val="pt-BR"/>
        </w:rPr>
      </w:pPr>
      <w:r>
        <w:rPr>
          <w:color w:val="000000"/>
          <w:lang w:val="pt-BR"/>
        </w:rPr>
        <w:t xml:space="preserve">85. La pregunta es muy relevante desde un punto de vista numérico. Según información proporcionada por Abogacía General de la Unión, el 59,07% de los casos pasivos en curso en Brasil presentan la acusación defensiva de violencia doméstica. De ellos, 101 fueron efectivamente sentenciados con análisis de fondo, de los cuales sólo 19 decisiones reconocieron la ocurrencia de violencia doméstica en el extranjero, lo que representa alrededor del 18,81% de los casos juzgados[52]. </w:t>
      </w:r>
    </w:p>
    <w:p w14:paraId="3FC2AA79" w14:textId="77777777" w:rsidR="002C1B58" w:rsidRPr="00B06F4F" w:rsidRDefault="002C1B58">
      <w:pPr>
        <w:pStyle w:val="SFPd"/>
        <w:rPr>
          <w:color w:val="000000"/>
          <w:lang w:val="pt-BR"/>
        </w:rPr>
      </w:pPr>
      <w:r w:rsidRPr="00B06F4F">
        <w:rPr>
          <w:color w:val="000000"/>
          <w:lang w:val="pt-BR"/>
        </w:rPr>
        <w:t xml:space="preserve">        </w:t>
      </w:r>
    </w:p>
    <w:p w14:paraId="2A12C883" w14:textId="77777777" w:rsidR="002C1B58" w:rsidRPr="00B06F4F" w:rsidRDefault="002C1B58">
      <w:pPr>
        <w:pStyle w:val="SFPd"/>
        <w:rPr>
          <w:color w:val="000000"/>
          <w:lang w:val="pt-BR"/>
        </w:rPr>
      </w:pPr>
      <w:r>
        <w:rPr>
          <w:color w:val="000000"/>
          <w:lang w:val="pt-BR"/>
        </w:rPr>
        <w:t>86. Se trata de un problema que requiere una respuesta que respete los compromisos internacionales de Brasil, pero que, al mismo tiempo, no descuide los derechos fundamentales de los niños y las mujeres en situación de vulnerabilidad. La definición, por parte de Supremo Tribunal Federal, de parámetros interpretativos para la aplicación de la excepción de riesgo grave constituye una valiosa oportunidad para avanzar en la construcción de una solución equilibrada, que asegure la efectividad de la Convención sin desconocer los preceptos constitucionales de dignidad humana y protección prioritaria de la niñez.</w:t>
      </w:r>
    </w:p>
    <w:p w14:paraId="2DA31A4A" w14:textId="77777777" w:rsidR="002C1B58" w:rsidRPr="00B06F4F" w:rsidRDefault="002C1B58">
      <w:pPr>
        <w:pStyle w:val="SFPd"/>
        <w:rPr>
          <w:color w:val="000000"/>
          <w:lang w:val="pt-BR"/>
        </w:rPr>
      </w:pPr>
      <w:r w:rsidRPr="00B06F4F">
        <w:rPr>
          <w:color w:val="000000"/>
          <w:lang w:val="pt-BR"/>
        </w:rPr>
        <w:t xml:space="preserve">        </w:t>
      </w:r>
    </w:p>
    <w:p w14:paraId="65345469" w14:textId="77777777" w:rsidR="002C1B58" w:rsidRPr="00B06F4F" w:rsidRDefault="002C1B58">
      <w:pPr>
        <w:pStyle w:val="SFPd"/>
        <w:rPr>
          <w:color w:val="000000"/>
          <w:lang w:val="pt-BR"/>
        </w:rPr>
      </w:pPr>
      <w:r>
        <w:rPr>
          <w:color w:val="000000"/>
          <w:u w:val="single"/>
          <w:lang w:val="pt-BR"/>
        </w:rPr>
        <w:t>Guía de buenas prácticas del Convenio de La Haya Directrices sobre el artículo 13(1)(b)</w:t>
      </w:r>
    </w:p>
    <w:p w14:paraId="23971D95" w14:textId="77777777" w:rsidR="002C1B58" w:rsidRPr="00B06F4F" w:rsidRDefault="002C1B58">
      <w:pPr>
        <w:pStyle w:val="SFPd"/>
        <w:rPr>
          <w:color w:val="000000"/>
          <w:lang w:val="pt-BR"/>
        </w:rPr>
      </w:pPr>
      <w:r w:rsidRPr="00B06F4F">
        <w:rPr>
          <w:color w:val="000000"/>
          <w:lang w:val="pt-BR"/>
        </w:rPr>
        <w:t xml:space="preserve">        </w:t>
      </w:r>
    </w:p>
    <w:p w14:paraId="7756A402" w14:textId="77777777" w:rsidR="002C1B58" w:rsidRPr="00B06F4F" w:rsidRDefault="002C1B58">
      <w:pPr>
        <w:pStyle w:val="SFPd"/>
        <w:rPr>
          <w:color w:val="000000"/>
          <w:lang w:val="pt-BR"/>
        </w:rPr>
      </w:pPr>
      <w:r>
        <w:rPr>
          <w:color w:val="000000"/>
          <w:lang w:val="pt-BR"/>
        </w:rPr>
        <w:t xml:space="preserve">87. La Guía de buenas prácticas de la Convención sobre el artículo 13 (1) </w:t>
      </w:r>
      <w:r>
        <w:rPr>
          <w:color w:val="000000"/>
          <w:lang w:val="pt-BR"/>
        </w:rPr>
        <w:lastRenderedPageBreak/>
        <w:t xml:space="preserve">(b), preparada en 2020 por la Conferencia de La Haya, proporciona algunas pautas para esta verificación. El documento aclara que la redacción del dispositivo muestra que el riesgo grave debe considerarse desde la perspectiva del niño. Sin embargo, lo más importante es que la Guía especifica que “los peligros para los padres, ya sean físicos o psicológicos, pueden, en algunas circunstancias excepcionales, crear un riesgo grave de que el regreso exponga al niño a un peligro físico o psicológico, o lo coloque de otro modo en una situación intolerable”. Por lo tanto, concluye que “la excepción del artículo 13(1)b no exige, por ejemplo, que el niño sea víctima directa o principal de un peligro físico si hay pruebas suficientes de que, debido al riesgo de peligro dirigido a los progenitores sustractores, existe un riesgo grave para el niño”. </w:t>
      </w:r>
    </w:p>
    <w:p w14:paraId="51DEDA7C" w14:textId="77777777" w:rsidR="002C1B58" w:rsidRPr="00B06F4F" w:rsidRDefault="002C1B58">
      <w:pPr>
        <w:pStyle w:val="SFPd"/>
        <w:rPr>
          <w:color w:val="000000"/>
          <w:lang w:val="pt-BR"/>
        </w:rPr>
      </w:pPr>
      <w:r w:rsidRPr="00B06F4F">
        <w:rPr>
          <w:color w:val="000000"/>
          <w:lang w:val="pt-BR"/>
        </w:rPr>
        <w:t xml:space="preserve">        </w:t>
      </w:r>
    </w:p>
    <w:p w14:paraId="6D70A754" w14:textId="77777777" w:rsidR="002C1B58" w:rsidRPr="00B06F4F" w:rsidRDefault="002C1B58">
      <w:pPr>
        <w:pStyle w:val="SFPd"/>
        <w:rPr>
          <w:color w:val="000000"/>
          <w:lang w:val="pt-BR"/>
        </w:rPr>
      </w:pPr>
      <w:r>
        <w:rPr>
          <w:color w:val="000000"/>
          <w:lang w:val="pt-BR"/>
        </w:rPr>
        <w:t>88. Además, sugiere los siguientes parámetros para interpretar la excepción de riesgo grave para el niño[53]:</w:t>
      </w:r>
    </w:p>
    <w:p w14:paraId="15D02B04" w14:textId="77777777" w:rsidR="002C1B58" w:rsidRPr="00B06F4F" w:rsidRDefault="002C1B58">
      <w:pPr>
        <w:pStyle w:val="SFPd"/>
        <w:rPr>
          <w:color w:val="000000"/>
          <w:lang w:val="pt-BR"/>
        </w:rPr>
      </w:pPr>
    </w:p>
    <w:p w14:paraId="6E0F08B3" w14:textId="77777777" w:rsidR="002C1B58" w:rsidRPr="00B06F4F" w:rsidRDefault="002C1B58">
      <w:pPr>
        <w:pStyle w:val="SFCto"/>
        <w:rPr>
          <w:color w:val="000000"/>
          <w:lang w:val="pt-BR"/>
        </w:rPr>
      </w:pPr>
      <w:r>
        <w:rPr>
          <w:color w:val="000000"/>
          <w:lang w:val="pt-BR"/>
        </w:rPr>
        <w:t>a) Nivel de gravedad del riesgo: el “riesgo grave” debe ser real y alcanzar un nivel de gravedad que lo caracterice como grave, el cual puede variar dependiendo de la naturaleza y gravedad del peligro potencial para el niño;</w:t>
      </w:r>
    </w:p>
    <w:p w14:paraId="51CDA979" w14:textId="77777777" w:rsidR="002C1B58" w:rsidRPr="00B06F4F" w:rsidRDefault="002C1B58">
      <w:pPr>
        <w:pStyle w:val="SFCto"/>
        <w:rPr>
          <w:color w:val="000000"/>
          <w:lang w:val="pt-BR"/>
        </w:rPr>
      </w:pPr>
      <w:r>
        <w:rPr>
          <w:color w:val="000000"/>
          <w:lang w:val="pt-BR"/>
        </w:rPr>
        <w:t>b) Análisis prospectivo: la excepción se centra en verificar las circunstancias y la existencia de riesgo grave para el niño en el momento del retorno, incluso teniendo en cuenta conductas e incidentes pasados. En este punto, la Guía dice textualmente que “los incidentes pasados ​​de violencia doméstica o familiar pueden, dependiendo de las circunstancias particulares, ser probatorios para determinar si existe un riesgo grave”;</w:t>
      </w:r>
    </w:p>
    <w:p w14:paraId="59EB56E7" w14:textId="77777777" w:rsidR="002C1B58" w:rsidRPr="00B06F4F" w:rsidRDefault="002C1B58">
      <w:pPr>
        <w:pStyle w:val="SFCto"/>
        <w:rPr>
          <w:color w:val="000000"/>
          <w:lang w:val="pt-BR"/>
        </w:rPr>
      </w:pPr>
      <w:r>
        <w:rPr>
          <w:color w:val="000000"/>
          <w:lang w:val="pt-BR"/>
        </w:rPr>
        <w:t>c) Análisis basado en evidencia: el análisis debe tener en cuenta evidencia clara y convincente [54] para configurar un riesgo grave, y no solo acusaciones genéricas;</w:t>
      </w:r>
    </w:p>
    <w:p w14:paraId="3471D4DA" w14:textId="77777777" w:rsidR="002C1B58" w:rsidRPr="00B06F4F" w:rsidRDefault="002C1B58">
      <w:pPr>
        <w:pStyle w:val="SFCto"/>
        <w:rPr>
          <w:color w:val="000000"/>
          <w:lang w:val="pt-BR"/>
        </w:rPr>
      </w:pPr>
      <w:r>
        <w:rPr>
          <w:color w:val="000000"/>
          <w:lang w:val="pt-BR"/>
        </w:rPr>
        <w:t>d) Carga de la prueba: la carga de probar la efectiva ocurrencia de la situación de grave riesgo recae en la persona, institución u organismo que se opone a la restitución del menor (en la mayoría de los casos, el progenitor a quien se atribuye la sustracción);</w:t>
      </w:r>
    </w:p>
    <w:p w14:paraId="0DFF8F7B" w14:textId="77777777" w:rsidR="002C1B58" w:rsidRPr="00B06F4F" w:rsidRDefault="002C1B58">
      <w:pPr>
        <w:pStyle w:val="SFCto"/>
        <w:rPr>
          <w:color w:val="000000"/>
          <w:lang w:val="pt-BR"/>
        </w:rPr>
      </w:pPr>
      <w:r>
        <w:rPr>
          <w:color w:val="000000"/>
          <w:lang w:val="pt-BR"/>
        </w:rPr>
        <w:t>e) Independencia de las situaciones de riesgo: cada tipo de riesgo (físico, psíquico u otra situación intolerable) puede invocarse de forma independiente para justificar una excepción al deber de garantizar el retorno inmediato del niño;</w:t>
      </w:r>
    </w:p>
    <w:p w14:paraId="203024D2" w14:textId="77777777" w:rsidR="002C1B58" w:rsidRPr="00B06F4F" w:rsidRDefault="002C1B58">
      <w:pPr>
        <w:pStyle w:val="SFCto"/>
        <w:rPr>
          <w:color w:val="000000"/>
          <w:lang w:val="pt-BR"/>
        </w:rPr>
      </w:pPr>
      <w:r>
        <w:rPr>
          <w:color w:val="000000"/>
          <w:lang w:val="pt-BR"/>
        </w:rPr>
        <w:t>f) Limitación cognitiva: el análisis de las excepciones debe centrarse en los motivos de la no restitución del niño, sin profundizar en cuestiones sustanciales relativas a la custodia, alimentos y visitas;</w:t>
      </w:r>
    </w:p>
    <w:p w14:paraId="72015C89" w14:textId="77777777" w:rsidR="002C1B58" w:rsidRPr="00B06F4F" w:rsidRDefault="002C1B58">
      <w:pPr>
        <w:pStyle w:val="SFCto"/>
        <w:rPr>
          <w:color w:val="000000"/>
          <w:lang w:val="pt-BR"/>
        </w:rPr>
      </w:pPr>
      <w:r>
        <w:rPr>
          <w:color w:val="000000"/>
          <w:lang w:val="pt-BR"/>
        </w:rPr>
        <w:t xml:space="preserve">g) Medidas de protección: el análisis de la excepción de un “riesgo grave” también puede incluir, si se considera necesario y </w:t>
      </w:r>
      <w:r>
        <w:rPr>
          <w:color w:val="000000"/>
          <w:lang w:val="pt-BR"/>
        </w:rPr>
        <w:lastRenderedPageBreak/>
        <w:t>apropiado, la consideración de la disponibilidad de medidas de protección adecuadas y efectivas en el Estado de residencia habitual, que pueden verificarse a través de la cooperación de las autoridades centrales y la comunicación directa entre los jueces de la Red Internacional de Jueces de La Haya y los jueces con competencia para el caso, como se destaca a continuación.</w:t>
      </w:r>
    </w:p>
    <w:p w14:paraId="3947E237" w14:textId="77777777" w:rsidR="002C1B58" w:rsidRPr="00B06F4F" w:rsidRDefault="002C1B58">
      <w:pPr>
        <w:pStyle w:val="SFPd"/>
        <w:rPr>
          <w:color w:val="000000"/>
          <w:lang w:val="pt-BR"/>
        </w:rPr>
      </w:pPr>
      <w:r w:rsidRPr="00B06F4F">
        <w:rPr>
          <w:color w:val="000000"/>
          <w:lang w:val="pt-BR"/>
        </w:rPr>
        <w:t xml:space="preserve">        </w:t>
      </w:r>
    </w:p>
    <w:p w14:paraId="15BE27EF" w14:textId="77777777" w:rsidR="002C1B58" w:rsidRPr="00B06F4F" w:rsidRDefault="002C1B58">
      <w:pPr>
        <w:pStyle w:val="SFPd"/>
        <w:rPr>
          <w:color w:val="000000"/>
          <w:lang w:val="pt-BR"/>
        </w:rPr>
      </w:pPr>
      <w:r>
        <w:rPr>
          <w:color w:val="000000"/>
          <w:lang w:val="pt-BR"/>
        </w:rPr>
        <w:t>89. La guía interpretativa de la Convención también tiene un apartado específico sobre la alegación de violencia doméstica, en los siguientes términos[55]:</w:t>
      </w:r>
    </w:p>
    <w:p w14:paraId="3B0EA808" w14:textId="77777777" w:rsidR="002C1B58" w:rsidRPr="00B06F4F" w:rsidRDefault="002C1B58">
      <w:pPr>
        <w:pStyle w:val="SFPd"/>
        <w:rPr>
          <w:color w:val="000000"/>
          <w:lang w:val="pt-BR"/>
        </w:rPr>
      </w:pPr>
    </w:p>
    <w:p w14:paraId="3C511B31" w14:textId="77777777" w:rsidR="002C1B58" w:rsidRPr="00B06F4F" w:rsidRDefault="002C1B58">
      <w:pPr>
        <w:pStyle w:val="SFCto"/>
        <w:rPr>
          <w:color w:val="000000"/>
          <w:lang w:val="pt-BR"/>
        </w:rPr>
      </w:pPr>
      <w:r>
        <w:rPr>
          <w:color w:val="000000"/>
          <w:lang w:val="pt-BR"/>
        </w:rPr>
        <w:t>Violencia doméstica contra el niño y/o el padre que secuestró al niño</w:t>
      </w:r>
    </w:p>
    <w:p w14:paraId="0E8CE9F1" w14:textId="77777777" w:rsidR="002C1B58" w:rsidRPr="00B06F4F" w:rsidRDefault="002C1B58">
      <w:pPr>
        <w:pStyle w:val="SFCto"/>
        <w:rPr>
          <w:color w:val="000000"/>
          <w:lang w:val="pt-BR"/>
        </w:rPr>
      </w:pPr>
      <w:r>
        <w:rPr>
          <w:color w:val="000000"/>
          <w:lang w:val="pt-BR"/>
        </w:rPr>
        <w:t>57. Las denuncias de riesgos graves derivados de la violencia doméstica pueden adoptar muchas formas. El padre sustractor puede alegar que existe un riesgo grave de peligro directo debido a abuso físico, sexual u otras formas de abuso del niño. También se puede afirmar que el riesgo grave resulta del sometimiento del niño a la violencia doméstica por parte del progenitor que se quedó sin el niño dirigida al progenitor sustractor. En algunas situaciones, el riesgo grave para el niño también puede basarse en el posible peligro para el padre sustractor al regresar del otro padre, incluso cuando ese peligro podría afectar significativamente su capacidad para cuidar al niño.</w:t>
      </w:r>
    </w:p>
    <w:p w14:paraId="4EF76C6F" w14:textId="77777777" w:rsidR="002C1B58" w:rsidRPr="00B06F4F" w:rsidRDefault="002C1B58">
      <w:pPr>
        <w:pStyle w:val="SFCto"/>
        <w:rPr>
          <w:color w:val="000000"/>
          <w:lang w:val="pt-BR"/>
        </w:rPr>
      </w:pPr>
      <w:r>
        <w:rPr>
          <w:color w:val="000000"/>
          <w:lang w:val="pt-BR"/>
        </w:rPr>
        <w:t xml:space="preserve">58. El enfoque específico del análisis de riesgo grave en estos casos es el efecto de la violencia doméstica en el niño al regresar a su Estado de residencia habitual, y si este efecto alcanza el alto umbral de la excepción de riesgo grave, a la luz de consideraciones tales como la naturaleza, frecuencia e intensidad de la violencia, así como las circunstancias en las que es probable que se presente. Por tanto, la prueba de la existencia de una situación de violencia doméstica, por sí sola, no es suficiente para establecer la existencia de un riesgo grave para el niño. </w:t>
      </w:r>
    </w:p>
    <w:p w14:paraId="0507CCC6" w14:textId="77777777" w:rsidR="002C1B58" w:rsidRPr="00B06F4F" w:rsidRDefault="002C1B58">
      <w:pPr>
        <w:pStyle w:val="SFCto"/>
        <w:rPr>
          <w:color w:val="000000"/>
          <w:lang w:val="pt-BR"/>
        </w:rPr>
      </w:pPr>
      <w:r>
        <w:rPr>
          <w:color w:val="000000"/>
          <w:lang w:val="pt-BR"/>
        </w:rPr>
        <w:t xml:space="preserve">59. En los casos en que el progenitor sustractor ha establecido circunstancias de violencia doméstica que plantean un riesgo grave para el niño, los tribunales deben considerar la disponibilidad, idoneidad y eficacia de medidas que protejan al niño de ese riesgo grave. Cuando en el estado de residencia habitual del niño se dispone de protección jurídica, aplicación de la ley y servicios sociales para ayudar a las víctimas de violencia doméstica, por ejemplo, los tribunales han ordenado la restitución del niño. Sin embargo, en algunos casos, los tribunales pueden no sólo considerar que esa protección y servicios jurídicos son insuficientes para proteger al niño de riesgos graves, por ejemplo, cuando el progenitor que se quedó sin el niño ha violado repetidamente las medidas de protección, lo que puede poner al </w:t>
      </w:r>
      <w:r>
        <w:rPr>
          <w:color w:val="000000"/>
          <w:lang w:val="pt-BR"/>
        </w:rPr>
        <w:lastRenderedPageBreak/>
        <w:t>niño en grave riesgo de ser sometido a peligros físicos o psicológicos, o cuando existe una gran vulnerabilidad psicológica del niño.</w:t>
      </w:r>
    </w:p>
    <w:p w14:paraId="1747715E" w14:textId="77777777" w:rsidR="002C1B58" w:rsidRPr="00B06F4F" w:rsidRDefault="002C1B58">
      <w:pPr>
        <w:pStyle w:val="SFPd"/>
        <w:rPr>
          <w:color w:val="000000"/>
          <w:lang w:val="pt-BR"/>
        </w:rPr>
      </w:pPr>
    </w:p>
    <w:p w14:paraId="2AD4E7C9" w14:textId="77777777" w:rsidR="002C1B58" w:rsidRPr="00B06F4F" w:rsidRDefault="002C1B58">
      <w:pPr>
        <w:pStyle w:val="SFPd"/>
        <w:rPr>
          <w:color w:val="000000"/>
          <w:lang w:val="pt-BR"/>
        </w:rPr>
      </w:pPr>
      <w:r>
        <w:rPr>
          <w:color w:val="000000"/>
          <w:lang w:val="pt-BR"/>
        </w:rPr>
        <w:t xml:space="preserve">90. Por lo tanto, la Guía reconoce que, en algunos casos, puede surgir un riesgo grave para el niño si el progenitor sustractor es sometido a violencia doméstica por parte del padre que se quedó sin el niño. Sin embargo, propone una interpretación restrictiva, enfatizando que: i) el enfoque específico del análisis de riesgo grave en estos casos debe ser el efecto de la violencia doméstica sobre el niño, y si este efecto corresponde al umbral alto de la excepción de riesgo grave, a la luz de consideraciones como la naturaleza, frecuencia e intensidad de la violencia, y probabilidad de repetición; ii) la prueba de violencia doméstica por sí sola no es suficiente para establecer un riesgo grave para el niño; iii) aún cuando exista un riesgo grave para el niño, el Tribunal podrá ordenar la restitución cuando exista disponibilidad de protección jurídica, autoridades policiales y servicios sociales en el Estado de residencia habitual del niño para ayudar a las víctimas de violencia doméstica.  </w:t>
      </w:r>
    </w:p>
    <w:p w14:paraId="44CCCC2E" w14:textId="77777777" w:rsidR="002C1B58" w:rsidRPr="00B06F4F" w:rsidRDefault="002C1B58">
      <w:pPr>
        <w:pStyle w:val="SFPd"/>
        <w:rPr>
          <w:color w:val="000000"/>
          <w:lang w:val="pt-BR"/>
        </w:rPr>
      </w:pPr>
    </w:p>
    <w:p w14:paraId="7FC1E975" w14:textId="77777777" w:rsidR="002C1B58" w:rsidRPr="00B06F4F" w:rsidRDefault="002C1B58">
      <w:pPr>
        <w:pStyle w:val="SFPd"/>
        <w:rPr>
          <w:color w:val="000000"/>
          <w:lang w:val="pt-BR"/>
        </w:rPr>
      </w:pPr>
      <w:r>
        <w:rPr>
          <w:color w:val="000000"/>
          <w:u w:val="single"/>
          <w:lang w:val="pt-BR"/>
        </w:rPr>
        <w:t>Los impactos de la violencia doméstica en los niños</w:t>
      </w:r>
    </w:p>
    <w:p w14:paraId="4D262B28" w14:textId="77777777" w:rsidR="002C1B58" w:rsidRPr="00B06F4F" w:rsidRDefault="002C1B58">
      <w:pPr>
        <w:pStyle w:val="SFPd"/>
        <w:rPr>
          <w:color w:val="000000"/>
          <w:lang w:val="pt-BR"/>
        </w:rPr>
      </w:pPr>
    </w:p>
    <w:p w14:paraId="4C528EE6" w14:textId="77777777" w:rsidR="002C1B58" w:rsidRPr="00B06F4F" w:rsidRDefault="002C1B58">
      <w:pPr>
        <w:pStyle w:val="SFPd"/>
        <w:rPr>
          <w:color w:val="000000"/>
          <w:lang w:val="pt-BR"/>
        </w:rPr>
      </w:pPr>
      <w:r>
        <w:rPr>
          <w:color w:val="000000"/>
          <w:lang w:val="pt-BR"/>
        </w:rPr>
        <w:t>91. Aunque la Guía entiende que no todos los casos de violencia doméstica serán suficientes para establecer un riesgo grave para el niño, es necesario comprender, de manera más amplia, los impactos de la violencia doméstica en los niños. La presencia de violencia doméstica en el ámbito familiar representa un alto factor de riesgo para el desarrollo integral del niño, comprometiendo directamente su salud física, emocional y psicológica. Diversos estudios científicos e institucionales confirman que los niños expuestos a la violencia entre sus padres, aunque no sean víctimas directas, sufren impactos en su salud y autoestima, así como daños en sus relaciones sociales y emocionales y en su desarrollo cognitivo y rendimiento académico.</w:t>
      </w:r>
    </w:p>
    <w:p w14:paraId="1640E094" w14:textId="77777777" w:rsidR="002C1B58" w:rsidRPr="00B06F4F" w:rsidRDefault="002C1B58">
      <w:pPr>
        <w:pStyle w:val="SFPd"/>
        <w:rPr>
          <w:color w:val="000000"/>
          <w:lang w:val="pt-BR"/>
        </w:rPr>
      </w:pPr>
    </w:p>
    <w:p w14:paraId="51F44B22" w14:textId="77777777" w:rsidR="002C1B58" w:rsidRPr="00B06F4F" w:rsidRDefault="002C1B58">
      <w:pPr>
        <w:pStyle w:val="SFPd"/>
        <w:rPr>
          <w:color w:val="000000"/>
          <w:lang w:val="pt-BR"/>
        </w:rPr>
      </w:pPr>
      <w:r>
        <w:rPr>
          <w:color w:val="000000"/>
          <w:lang w:val="pt-BR"/>
        </w:rPr>
        <w:t xml:space="preserve">92. La Organización Mundial de la Salud (OMS), en un estudio de 2005 sobre la salud de las mujeres y los efectos de la violencia doméstica[56], destacó las amplias repercusiones de la violencia contra las mujeres, incluidos los niños que la presencian. Pone en riesgo la salud y la integridad del niño, además de contribuir a la perpetuación de ciclos intergeneracionales de violencia y discriminación, especialmente contra las mujeres. Estas conclusiones son corroboradas en un estudio del Banco Interamericano de Desarrollo (BID) con países de América Latina y el Caribe, que demuestra los efectos de la violencia contra las mujeres en los hijos de las mujeres víctimas[57]. El estudio destaca los impactos en la salud infantil, como mayores tasas de anemia y desnutrición; impactos educativos, como una mayor tendencia al ausentismo, fracaso y abandono escolar, además de </w:t>
      </w:r>
      <w:r>
        <w:rPr>
          <w:color w:val="000000"/>
          <w:lang w:val="pt-BR"/>
        </w:rPr>
        <w:lastRenderedPageBreak/>
        <w:t>dificultades de conducta; y la reproducción de ciclos intergeneracionales de abuso.</w:t>
      </w:r>
    </w:p>
    <w:p w14:paraId="23F32820" w14:textId="77777777" w:rsidR="002C1B58" w:rsidRPr="00B06F4F" w:rsidRDefault="002C1B58">
      <w:pPr>
        <w:pStyle w:val="SFPd"/>
        <w:rPr>
          <w:color w:val="000000"/>
          <w:lang w:val="pt-BR"/>
        </w:rPr>
      </w:pPr>
    </w:p>
    <w:p w14:paraId="4257261F" w14:textId="77777777" w:rsidR="002C1B58" w:rsidRPr="00B06F4F" w:rsidRDefault="002C1B58">
      <w:pPr>
        <w:pStyle w:val="SFPd"/>
        <w:rPr>
          <w:color w:val="000000"/>
          <w:lang w:val="pt-BR"/>
        </w:rPr>
      </w:pPr>
      <w:r>
        <w:rPr>
          <w:color w:val="000000"/>
          <w:lang w:val="pt-BR"/>
        </w:rPr>
        <w:t>93. La investigación más reciente de la OMS, de 2024, presenta pruebas sólidas de las intersecciones entre la violencia contra los niños perpetrada por padres o cuidadores y la violencia contra las mujeres por parte de sus parejas íntimas[58]. El estudio señala que ambos tipos de violencia están ampliamente difundidos a nivel mundial y a menudo coexisten en el mismo entorno familiar, con causas y factores de riesgo compartidos, como la desigualdad de género, el estrés familiar, la pobreza, el abuso de sustancias y las normas sociales que toleran la violencia. La evidencia resaltada en la investigación indica que los niños en hogares afectados por la violencia contra las mujeres en las relaciones íntimas tienen más probabilidades de sufrir disciplina violenta por parte de sus padres/cuidadores.</w:t>
      </w:r>
    </w:p>
    <w:p w14:paraId="245E4C94" w14:textId="77777777" w:rsidR="002C1B58" w:rsidRPr="00B06F4F" w:rsidRDefault="002C1B58">
      <w:pPr>
        <w:pStyle w:val="SFPd"/>
        <w:rPr>
          <w:color w:val="000000"/>
          <w:lang w:val="pt-BR"/>
        </w:rPr>
      </w:pPr>
    </w:p>
    <w:p w14:paraId="50AC9106" w14:textId="77777777" w:rsidR="002C1B58" w:rsidRPr="00B06F4F" w:rsidRDefault="002C1B58">
      <w:pPr>
        <w:pStyle w:val="SFPd"/>
        <w:rPr>
          <w:color w:val="000000"/>
          <w:lang w:val="pt-BR"/>
        </w:rPr>
      </w:pPr>
      <w:r>
        <w:rPr>
          <w:color w:val="000000"/>
          <w:lang w:val="pt-BR"/>
        </w:rPr>
        <w:t>94. Lo más importante es que el estudio reafirma que la exposición de los niños a la violencia doméstica, ya sea como víctimas directas o como testigos de una agresión contra sus madres, tiene consecuencias profundas y duraderas para su salud física, mental, sexual y reproductiva. Algunas consecuencias pueden perpetuar ciclos intergeneracionales de violencia y discriminación, con impactos diferentes para niños y niñas: los niños corren un mayor riesgo de convertirse en agresores en el futuro, mientras que las niñas tienen más probabilidades de ser víctimas. Por lo tanto, la investigación refuerza la necesidad urgente de enfoques integrados para prevenir y responder a ambas formas de violencia, con el objetivo de proteger eficazmente a niños y mujeres.</w:t>
      </w:r>
    </w:p>
    <w:p w14:paraId="0744630F" w14:textId="77777777" w:rsidR="002C1B58" w:rsidRPr="00B06F4F" w:rsidRDefault="002C1B58">
      <w:pPr>
        <w:pStyle w:val="SFPd"/>
        <w:rPr>
          <w:color w:val="000000"/>
          <w:lang w:val="pt-BR"/>
        </w:rPr>
      </w:pPr>
    </w:p>
    <w:p w14:paraId="6598DBB0" w14:textId="77777777" w:rsidR="002C1B58" w:rsidRPr="00B06F4F" w:rsidRDefault="002C1B58">
      <w:pPr>
        <w:pStyle w:val="SFPd"/>
        <w:rPr>
          <w:color w:val="000000"/>
          <w:lang w:val="pt-BR"/>
        </w:rPr>
      </w:pPr>
      <w:r>
        <w:rPr>
          <w:color w:val="000000"/>
          <w:lang w:val="pt-BR"/>
        </w:rPr>
        <w:t xml:space="preserve">95. UNICEF (Fondo de las Naciones Unidas para la Infancia) señala que en el mundo, uno de cada cuatro niños menores de cinco años vive con una madre víctima de violencia doméstica por parte de su pareja íntima[59]. Sin un ambiente familiar saludable, existen daños innegables en el desarrollo psicoemocional de los niños, generando inseguridad, miedo, culpa y sufrimiento psicológico en los niños, lo que puede generar agresividad, bajo rendimiento escolar, depresión e incluso trastornos de la personalidad. </w:t>
      </w:r>
    </w:p>
    <w:p w14:paraId="3430D358" w14:textId="77777777" w:rsidR="002C1B58" w:rsidRPr="00B06F4F" w:rsidRDefault="002C1B58">
      <w:pPr>
        <w:pStyle w:val="SFPd"/>
        <w:rPr>
          <w:color w:val="000000"/>
          <w:lang w:val="pt-BR"/>
        </w:rPr>
      </w:pPr>
    </w:p>
    <w:p w14:paraId="502899BB" w14:textId="77777777" w:rsidR="002C1B58" w:rsidRPr="00B06F4F" w:rsidRDefault="002C1B58">
      <w:pPr>
        <w:pStyle w:val="SFPd"/>
        <w:rPr>
          <w:color w:val="000000"/>
          <w:lang w:val="pt-BR"/>
        </w:rPr>
      </w:pPr>
      <w:r>
        <w:rPr>
          <w:color w:val="000000"/>
          <w:lang w:val="pt-BR"/>
        </w:rPr>
        <w:t>96. Por lo tanto, la práctica de violencia doméstica contra la madre puede, en determinadas circunstancias, justificar la no restitución del niño. No se trata de crear una nueva excepción a la restitución prevista en la Convención, sino más bien de reconocer que tales situaciones entran dentro de la cláusula existente del artículo 13 (1) (b), que contempla el riesgo de exponer al niño a una situación intolerable. Al respecto, Carmen Tibúrcio enseña que:</w:t>
      </w:r>
    </w:p>
    <w:p w14:paraId="409E6EB4" w14:textId="77777777" w:rsidR="002C1B58" w:rsidRPr="00B06F4F" w:rsidRDefault="002C1B58">
      <w:pPr>
        <w:pStyle w:val="SFPd"/>
        <w:rPr>
          <w:color w:val="000000"/>
          <w:lang w:val="pt-BR"/>
        </w:rPr>
      </w:pPr>
    </w:p>
    <w:p w14:paraId="1909CC14" w14:textId="77777777" w:rsidR="002C1B58" w:rsidRPr="00B06F4F" w:rsidRDefault="002C1B58">
      <w:pPr>
        <w:pStyle w:val="SFCto"/>
        <w:rPr>
          <w:color w:val="000000"/>
          <w:lang w:val="pt-BR"/>
        </w:rPr>
      </w:pPr>
      <w:r>
        <w:rPr>
          <w:color w:val="000000"/>
          <w:lang w:val="pt-BR"/>
        </w:rPr>
        <w:lastRenderedPageBreak/>
        <w:t>[...] en el sistema establecido por el Convenio de La Haya, la práctica de la violencia doméstica constituye una situación intolerable, hipótesis prevista en el art. 13, b del texto convencional como obstáculo al retorno. La conclusión se ve reforzada por el hecho de que Brasil ha ratificado tratados internacionales que garantizan el derecho a la integridad física y psicológica, además de obligar al Estado brasileño a actuar de manera que impida la exposición de las mujeres a cualquier forma de violencia física, sexual o psicológica.”[60]</w:t>
      </w:r>
    </w:p>
    <w:p w14:paraId="27E6E931" w14:textId="77777777" w:rsidR="002C1B58" w:rsidRPr="00B06F4F" w:rsidRDefault="002C1B58">
      <w:pPr>
        <w:pStyle w:val="SFPd"/>
        <w:rPr>
          <w:color w:val="000000"/>
          <w:lang w:val="pt-BR"/>
        </w:rPr>
      </w:pPr>
    </w:p>
    <w:p w14:paraId="608CD30B" w14:textId="77777777" w:rsidR="002C1B58" w:rsidRPr="00B06F4F" w:rsidRDefault="002C1B58">
      <w:pPr>
        <w:pStyle w:val="SFPd"/>
        <w:rPr>
          <w:color w:val="000000"/>
          <w:lang w:val="pt-BR"/>
        </w:rPr>
      </w:pPr>
      <w:r>
        <w:rPr>
          <w:color w:val="000000"/>
          <w:lang w:val="pt-BR"/>
        </w:rPr>
        <w:t>97. En un contexto en el que la protección de los niños contra todas las formas de violencia debe ser una prioridad absoluta y en el que hay consenso sobre las consecuencias nocivas de la violencia contra la madre sobre el niño, la alegación de violencia doméstica en los procesos internacionales de restitución debe ser seriamente considerada, bajo pena de violar la Constitución e incumplir los compromisos asumidos por Brasil a nivel internacional. Por lo tanto, la denegación de restitución no sólo puede ser compatible con el Convenio de La Haya de 1980, sino también necesaria para su aplicación de conformidad con el principio del interés superior del niño.</w:t>
      </w:r>
    </w:p>
    <w:p w14:paraId="15892976" w14:textId="77777777" w:rsidR="002C1B58" w:rsidRPr="00B06F4F" w:rsidRDefault="002C1B58">
      <w:pPr>
        <w:pStyle w:val="SFPd"/>
        <w:rPr>
          <w:color w:val="000000"/>
          <w:lang w:val="pt-BR"/>
        </w:rPr>
      </w:pPr>
    </w:p>
    <w:p w14:paraId="4A084CE3" w14:textId="77777777" w:rsidR="002C1B58" w:rsidRPr="00B06F4F" w:rsidRDefault="002C1B58">
      <w:pPr>
        <w:pStyle w:val="SFPd"/>
        <w:rPr>
          <w:color w:val="000000"/>
          <w:lang w:val="pt-BR"/>
        </w:rPr>
      </w:pPr>
      <w:r>
        <w:rPr>
          <w:color w:val="000000"/>
          <w:lang w:val="pt-BR"/>
        </w:rPr>
        <w:t>98. Por lo tanto, la jurisprudencia comparada e internacional ya ha reconocido que la prueba de la violencia contra la mujer es capaz de configurar una excepción a la obligación de retorno inmediato, prevista en el artículo 13 (1) (b) de la Convención, demostrando que existe un riesgo para la integridad física y psíquica del niño, su desarrollo integral y la garantía de sus derechos, de modo que la exposición del niño a la violencia entre sus padres viola su derecho fundamental a un desarrollo sano y saludable. contra sus mejores intereses, convirtiéndola en una víctima indirecta de la situación.</w:t>
      </w:r>
    </w:p>
    <w:p w14:paraId="3B7A8312" w14:textId="77777777" w:rsidR="002C1B58" w:rsidRPr="00B06F4F" w:rsidRDefault="002C1B58">
      <w:pPr>
        <w:pStyle w:val="SFPd"/>
        <w:rPr>
          <w:color w:val="000000"/>
          <w:lang w:val="pt-BR"/>
        </w:rPr>
      </w:pPr>
    </w:p>
    <w:p w14:paraId="660324E0" w14:textId="77777777" w:rsidR="002C1B58" w:rsidRPr="00B06F4F" w:rsidRDefault="002C1B58">
      <w:pPr>
        <w:pStyle w:val="SFPd"/>
        <w:rPr>
          <w:color w:val="000000"/>
          <w:lang w:val="pt-BR"/>
        </w:rPr>
      </w:pPr>
      <w:r>
        <w:rPr>
          <w:color w:val="000000"/>
          <w:lang w:val="pt-BR"/>
        </w:rPr>
        <w:t>99. La Corte Constitucional de Colombia, en más de una ocasión, ha reconocido esta situación. En Sentencia T-275/2023, la Corte resolvió que la restitución podrá denegarse cuando exista un riesgo grave derivado de violencia intrafamiliar, incluso si la agresión se dirige principalmente a la madre, siempre que las afectaciones al menor sean concretas y demostrables[61]. Más recientemente, en las Sentencias T-291/2024 [62] y T-516/2024 [63], la corte colombiana reiteró que el análisis de las excepciones previstas en los artículos 12 y 13 debe incorporar un enfoque de género y examinar el impacto de la violencia contra las mujeres sobre el interés superior del niño. Estos precedentes, alineados con los lineamientos Conferencia de La Haya de Derecho Internacional Privado, confirman que la protección que confiere el artículo 13 (1) (b) no se limita al riesgo directo para el niño, sino que también cubre el riesgo reflejo derivado de contextos de violencia de género vividos en el núcleo familiar.</w:t>
      </w:r>
    </w:p>
    <w:p w14:paraId="21AA8F53" w14:textId="77777777" w:rsidR="002C1B58" w:rsidRPr="00B06F4F" w:rsidRDefault="002C1B58">
      <w:pPr>
        <w:pStyle w:val="SFPd"/>
        <w:rPr>
          <w:color w:val="000000"/>
          <w:lang w:val="pt-BR"/>
        </w:rPr>
      </w:pPr>
      <w:r w:rsidRPr="00B06F4F">
        <w:rPr>
          <w:color w:val="000000"/>
          <w:lang w:val="pt-BR"/>
        </w:rPr>
        <w:lastRenderedPageBreak/>
        <w:t xml:space="preserve">        </w:t>
      </w:r>
    </w:p>
    <w:p w14:paraId="274936D9" w14:textId="77777777" w:rsidR="002C1B58" w:rsidRPr="00B06F4F" w:rsidRDefault="002C1B58">
      <w:pPr>
        <w:pStyle w:val="SFPd"/>
        <w:rPr>
          <w:color w:val="000000"/>
          <w:lang w:val="pt-BR"/>
        </w:rPr>
      </w:pPr>
      <w:r>
        <w:rPr>
          <w:color w:val="000000"/>
          <w:u w:val="single"/>
          <w:lang w:val="pt-BR"/>
        </w:rPr>
        <w:t>Juicio con perspectiva de género</w:t>
      </w:r>
    </w:p>
    <w:p w14:paraId="3EC9F88D" w14:textId="77777777" w:rsidR="002C1B58" w:rsidRPr="00B06F4F" w:rsidRDefault="002C1B58">
      <w:pPr>
        <w:pStyle w:val="SFPd"/>
        <w:rPr>
          <w:color w:val="000000"/>
          <w:lang w:val="pt-BR"/>
        </w:rPr>
      </w:pPr>
      <w:r w:rsidRPr="00B06F4F">
        <w:rPr>
          <w:color w:val="000000"/>
          <w:lang w:val="pt-BR"/>
        </w:rPr>
        <w:t xml:space="preserve">        </w:t>
      </w:r>
    </w:p>
    <w:p w14:paraId="65510B44" w14:textId="77777777" w:rsidR="002C1B58" w:rsidRPr="00B06F4F" w:rsidRDefault="002C1B58">
      <w:pPr>
        <w:pStyle w:val="SFPd"/>
        <w:rPr>
          <w:color w:val="000000"/>
          <w:lang w:val="pt-BR"/>
        </w:rPr>
      </w:pPr>
      <w:r>
        <w:rPr>
          <w:color w:val="000000"/>
          <w:lang w:val="pt-BR"/>
        </w:rPr>
        <w:t xml:space="preserve">100. Aunque la atención se centra en el interés superior del niño, la “excepción de riesgo grave” también debe recibir una lectura compatible con el género. </w:t>
      </w:r>
    </w:p>
    <w:p w14:paraId="712A2BEE" w14:textId="77777777" w:rsidR="002C1B58" w:rsidRPr="00B06F4F" w:rsidRDefault="002C1B58">
      <w:pPr>
        <w:pStyle w:val="SFPd"/>
        <w:rPr>
          <w:color w:val="000000"/>
          <w:lang w:val="pt-BR"/>
        </w:rPr>
      </w:pPr>
      <w:r w:rsidRPr="00B06F4F">
        <w:rPr>
          <w:color w:val="000000"/>
          <w:lang w:val="pt-BR"/>
        </w:rPr>
        <w:t xml:space="preserve">        </w:t>
      </w:r>
    </w:p>
    <w:p w14:paraId="79E44FCE" w14:textId="77777777" w:rsidR="002C1B58" w:rsidRPr="00B06F4F" w:rsidRDefault="002C1B58">
      <w:pPr>
        <w:pStyle w:val="SFPd"/>
        <w:rPr>
          <w:color w:val="000000"/>
          <w:lang w:val="pt-BR"/>
        </w:rPr>
      </w:pPr>
      <w:r>
        <w:rPr>
          <w:color w:val="000000"/>
          <w:lang w:val="pt-BR"/>
        </w:rPr>
        <w:t xml:space="preserve">101. Como ya he señalado, la posición histórica de subordinación de las mujeres respecto de los hombres ha institucionalizado la desigualdad socioeconómica entre géneros y ha promovido visiones excluyentes, discriminatorias y estereotipadas de la identidad femenina. Además, fomentó la formación de una perniciosa cultura de violencia física y moral contra las mujeres, en todos los ámbitos (público y privado). </w:t>
      </w:r>
    </w:p>
    <w:p w14:paraId="46D685E6" w14:textId="77777777" w:rsidR="002C1B58" w:rsidRPr="00B06F4F" w:rsidRDefault="002C1B58">
      <w:pPr>
        <w:pStyle w:val="SFPd"/>
        <w:rPr>
          <w:color w:val="000000"/>
          <w:lang w:val="pt-BR"/>
        </w:rPr>
      </w:pPr>
      <w:r w:rsidRPr="00B06F4F">
        <w:rPr>
          <w:color w:val="000000"/>
          <w:lang w:val="pt-BR"/>
        </w:rPr>
        <w:t xml:space="preserve">        </w:t>
      </w:r>
    </w:p>
    <w:p w14:paraId="2EDBB055" w14:textId="77777777" w:rsidR="002C1B58" w:rsidRPr="00B06F4F" w:rsidRDefault="002C1B58">
      <w:pPr>
        <w:pStyle w:val="SFPd"/>
        <w:rPr>
          <w:color w:val="000000"/>
          <w:lang w:val="pt-BR"/>
        </w:rPr>
      </w:pPr>
      <w:r>
        <w:rPr>
          <w:color w:val="000000"/>
          <w:lang w:val="pt-BR"/>
        </w:rPr>
        <w:t>102. La violencia de género se caracteriza como violencia dirigida contra una mujer por el hecho de ser mujer, o que la afecta desproporcionadamente[64]. Esta violencia, que surge de una asimetría estructural de género, se manifiesta de diferentes maneras, como reconoce el art. 7º de la Ley nº 11.340/2006 (Ley Maria da Penha). No sólo a través de la violencia física o sexual, sino también a través de la violencia psicológica (intimidación, amenazas, gaslighting, aislamiento, encarcelamiento falso, ataques a la autoestima, insultos, humillaciones, exposición en redes sociales), violencia patrimonial (destrucción de bienes, ocultamiento de bienes, apropiación de ingresos, impago de pensiones alimenticias), violencia moral (disminución de la figura de la mujer ante la sociedad y ante terceros, intentos de devaluar el comportamiento de las mujeres en procesos relacionados con el derecho a la familia para obtener la custodia de sus niños, pornografía vengativa), violencia institucional (practicada por los órganos oficiales del país, incluido el Poder Judicial) y violencia política (distinción, exclusión o restricción en el reconocimiento, goce o ejercicio de sus derechos y libertades políticas fundamentales en función del género)[65]. También puede verse potenciado por varios factores, como cuestiones raciales, la condición de extranjera de la mujer, entre otros.</w:t>
      </w:r>
    </w:p>
    <w:p w14:paraId="3D08764F" w14:textId="77777777" w:rsidR="002C1B58" w:rsidRPr="00B06F4F" w:rsidRDefault="002C1B58">
      <w:pPr>
        <w:pStyle w:val="SFPd"/>
        <w:rPr>
          <w:color w:val="000000"/>
          <w:lang w:val="pt-BR"/>
        </w:rPr>
      </w:pPr>
      <w:r w:rsidRPr="00B06F4F">
        <w:rPr>
          <w:color w:val="000000"/>
          <w:lang w:val="pt-BR"/>
        </w:rPr>
        <w:t xml:space="preserve">        </w:t>
      </w:r>
    </w:p>
    <w:p w14:paraId="08AF8ED7" w14:textId="77777777" w:rsidR="002C1B58" w:rsidRPr="00B06F4F" w:rsidRDefault="002C1B58">
      <w:pPr>
        <w:pStyle w:val="SFPd"/>
        <w:rPr>
          <w:color w:val="000000"/>
          <w:lang w:val="pt-BR"/>
        </w:rPr>
      </w:pPr>
      <w:r>
        <w:rPr>
          <w:color w:val="000000"/>
          <w:lang w:val="pt-BR"/>
        </w:rPr>
        <w:t>103. En particular, la violencia doméstica y familiar contra la mujer es una de las formas más perniciosas y extendidas de violencia de género. Constituye una de las más graves violaciones a los derechos humanos, exigiendo una respuesta firme y estructurada por parte del Estado y la sociedad. Nuestra Constitución, en el art. 226, § 8, impone al Estado el deber de crear mecanismos para frenar la violencia en las relaciones familiares, reconociendo la necesidad de asistencia y protección a las víctimas.</w:t>
      </w:r>
    </w:p>
    <w:p w14:paraId="52079549" w14:textId="77777777" w:rsidR="002C1B58" w:rsidRPr="00B06F4F" w:rsidRDefault="002C1B58">
      <w:pPr>
        <w:pStyle w:val="SFPd"/>
        <w:rPr>
          <w:color w:val="000000"/>
          <w:lang w:val="pt-BR"/>
        </w:rPr>
      </w:pPr>
      <w:r w:rsidRPr="00B06F4F">
        <w:rPr>
          <w:color w:val="000000"/>
          <w:lang w:val="pt-BR"/>
        </w:rPr>
        <w:t xml:space="preserve">        </w:t>
      </w:r>
    </w:p>
    <w:p w14:paraId="07F700CB" w14:textId="77777777" w:rsidR="002C1B58" w:rsidRPr="00B06F4F" w:rsidRDefault="002C1B58">
      <w:pPr>
        <w:pStyle w:val="SFPd"/>
        <w:rPr>
          <w:color w:val="000000"/>
          <w:lang w:val="pt-BR"/>
        </w:rPr>
      </w:pPr>
      <w:r>
        <w:rPr>
          <w:color w:val="000000"/>
          <w:lang w:val="pt-BR"/>
        </w:rPr>
        <w:t xml:space="preserve">104. Este compromiso se fortalece a nivel internacional, con la adhesión </w:t>
      </w:r>
      <w:r>
        <w:rPr>
          <w:color w:val="000000"/>
          <w:lang w:val="pt-BR"/>
        </w:rPr>
        <w:lastRenderedPageBreak/>
        <w:t xml:space="preserve">de Brasil a tratados y convenciones que establecen directrices para la erradicación de la violencia de género, como la Convención sobre la eliminación de todas las formas de discriminación contra la mujer (CEDAW) y la Convención Interamericana para Prevenir, Sancionar y Erradicar la Violencia contra la Mujer (Convención de Belém do Pará). </w:t>
      </w:r>
    </w:p>
    <w:p w14:paraId="29E6151C" w14:textId="77777777" w:rsidR="002C1B58" w:rsidRPr="00B06F4F" w:rsidRDefault="002C1B58">
      <w:pPr>
        <w:pStyle w:val="SFPd"/>
        <w:rPr>
          <w:color w:val="000000"/>
          <w:lang w:val="pt-BR"/>
        </w:rPr>
      </w:pPr>
      <w:r w:rsidRPr="00B06F4F">
        <w:rPr>
          <w:color w:val="000000"/>
          <w:lang w:val="pt-BR"/>
        </w:rPr>
        <w:t xml:space="preserve">        </w:t>
      </w:r>
    </w:p>
    <w:p w14:paraId="7AC490D6" w14:textId="77777777" w:rsidR="002C1B58" w:rsidRPr="00B06F4F" w:rsidRDefault="002C1B58">
      <w:pPr>
        <w:pStyle w:val="SFPd"/>
        <w:rPr>
          <w:color w:val="000000"/>
          <w:lang w:val="pt-BR"/>
        </w:rPr>
      </w:pPr>
      <w:r>
        <w:rPr>
          <w:color w:val="000000"/>
          <w:lang w:val="pt-BR"/>
        </w:rPr>
        <w:t>105. En el ámbito normativo interno, la Ley Maria da Penha (Ley nº 11.340/2006) consolidó un marco jurídico sólido, definiendo la violencia doméstica como una violación de los derechos humanos y estableciendo un sistema de protección basado en la urgencia y eficacia de la protección estatal. Consciente de la relevancia de este tema, el Poder Judicial incluyó entre sus prioridades institucionales la lucha contra la violencia doméstica, formalizando la Meta Nacional N° 8 de 2025, del Consejo Nacional de Justicia, que busca garantizar una respuesta rápida y efectiva a las víctimas[66]. Este no es sólo un compromiso legal, sino civilizador.</w:t>
      </w:r>
    </w:p>
    <w:p w14:paraId="61F54E63" w14:textId="77777777" w:rsidR="002C1B58" w:rsidRPr="00B06F4F" w:rsidRDefault="002C1B58">
      <w:pPr>
        <w:pStyle w:val="SFPd"/>
        <w:rPr>
          <w:color w:val="000000"/>
          <w:lang w:val="pt-BR"/>
        </w:rPr>
      </w:pPr>
      <w:r w:rsidRPr="00B06F4F">
        <w:rPr>
          <w:color w:val="000000"/>
          <w:lang w:val="pt-BR"/>
        </w:rPr>
        <w:t xml:space="preserve">        </w:t>
      </w:r>
    </w:p>
    <w:p w14:paraId="1ACD147E" w14:textId="77777777" w:rsidR="002C1B58" w:rsidRPr="00B06F4F" w:rsidRDefault="002C1B58">
      <w:pPr>
        <w:pStyle w:val="SFPd"/>
        <w:rPr>
          <w:color w:val="000000"/>
          <w:lang w:val="pt-BR"/>
        </w:rPr>
      </w:pPr>
      <w:r>
        <w:rPr>
          <w:color w:val="000000"/>
          <w:lang w:val="pt-BR"/>
        </w:rPr>
        <w:t xml:space="preserve">106. La protección otorgada por el Poder Judicial ciertamente no se limita al ámbito penal, extendiéndose al ámbito civil y familiar, a fin de garantizar sentencias con perspectiva de género. Esto requiere, entre otras directrices, un esfuerzo por identificar y mitigar el impacto desproporcionado de ciertas normas y prácticas judiciales sobre las mujeres y la influencia negativa de los estereotipos de género en la interpretación y aplicación de la ley. Con este objetivo, en 2021, el Consejo Nacional de Justicia (CNJ) aprobó el Protocolo para la Sentencia con Perspectiva de Género[67] y, en 2023, el cumplimiento del Protocolo pasó a ser obligatorio, en los términos de la Resolución N° 492/2023. </w:t>
      </w:r>
    </w:p>
    <w:p w14:paraId="4897E829" w14:textId="77777777" w:rsidR="002C1B58" w:rsidRPr="00B06F4F" w:rsidRDefault="002C1B58">
      <w:pPr>
        <w:pStyle w:val="SFPd"/>
        <w:rPr>
          <w:color w:val="000000"/>
          <w:lang w:val="pt-BR"/>
        </w:rPr>
      </w:pPr>
      <w:r w:rsidRPr="00B06F4F">
        <w:rPr>
          <w:color w:val="000000"/>
          <w:lang w:val="pt-BR"/>
        </w:rPr>
        <w:t xml:space="preserve">        </w:t>
      </w:r>
    </w:p>
    <w:p w14:paraId="06B24431" w14:textId="77777777" w:rsidR="002C1B58" w:rsidRPr="00B06F4F" w:rsidRDefault="002C1B58">
      <w:pPr>
        <w:pStyle w:val="SFPd"/>
        <w:rPr>
          <w:color w:val="000000"/>
          <w:lang w:val="pt-BR"/>
        </w:rPr>
      </w:pPr>
      <w:r>
        <w:rPr>
          <w:color w:val="000000"/>
          <w:lang w:val="pt-BR"/>
        </w:rPr>
        <w:t xml:space="preserve">107. Por lo tanto, la perspectiva de género también debe ser considerada en la interpretación y aplicación de la Convención de La Haya de 1980, so pena de comprometer la protección de la víctima y de sus hijos, además de alejar el ordenamiento jurídico brasileño de sus compromisos en la defensa de los derechos de las mujeres. Sin abandonar los criterios de urgencia y rapidez ni ampliar los límites de la cognición, los procesos internacionales de restitución de niños deben considerar los impactos de la violencia en el interés superior del niño y de la mujer. </w:t>
      </w:r>
    </w:p>
    <w:p w14:paraId="7FEEB05D" w14:textId="77777777" w:rsidR="002C1B58" w:rsidRPr="00B06F4F" w:rsidRDefault="002C1B58">
      <w:pPr>
        <w:pStyle w:val="SFPd"/>
        <w:rPr>
          <w:color w:val="000000"/>
          <w:lang w:val="pt-BR"/>
        </w:rPr>
      </w:pPr>
      <w:r w:rsidRPr="00B06F4F">
        <w:rPr>
          <w:color w:val="000000"/>
          <w:lang w:val="pt-BR"/>
        </w:rPr>
        <w:t xml:space="preserve">        </w:t>
      </w:r>
    </w:p>
    <w:p w14:paraId="02F0D234" w14:textId="77777777" w:rsidR="002C1B58" w:rsidRPr="00B06F4F" w:rsidRDefault="002C1B58">
      <w:pPr>
        <w:pStyle w:val="SFPd"/>
        <w:rPr>
          <w:color w:val="000000"/>
          <w:lang w:val="pt-BR"/>
        </w:rPr>
      </w:pPr>
      <w:r>
        <w:rPr>
          <w:color w:val="000000"/>
          <w:lang w:val="pt-BR"/>
        </w:rPr>
        <w:t xml:space="preserve">108. Como ya se mencionó, el contexto actual de aplicación del Convenio de La Haya de 1980 revela que una parte relevante de los casos de sustracción internacional de menores involucran a madres cuidadoras principales de los niños, que abandonan el país de residencia habitual por situaciones de abuso o violencia doméstica. En este escenario, es necesario evaluar cuidadosamente los mecanismos para evitar que el retorno se convierta en un medio para perpetuar la violencia, obligando no sólo a la restitución del </w:t>
      </w:r>
      <w:r>
        <w:rPr>
          <w:color w:val="000000"/>
          <w:lang w:val="pt-BR"/>
        </w:rPr>
        <w:lastRenderedPageBreak/>
        <w:t xml:space="preserve">menor, sino también a la reintegración de la madre al entorno del que buscó alejarse. En muchos casos, este retorno se produce sin que la mujer cuente con una red de apoyo familiar, social, económico o jurídico[68]. No es raro que el acceso a los servicios sociales se vea obstaculizado por la ausencia de un documento que confiera derechos de ciudadanía o residencia, y se utilicen las leyes internas para intimidar y aislar a las mujeres, con separaciones traumáticas y la reducción de los derechos de la madre en relación con el niño, a partir de la acusación de sustracción[69], agravando su vulnerabilidad y comprometiendo la eficacia de la protección contra la violencia de género. </w:t>
      </w:r>
    </w:p>
    <w:p w14:paraId="6BBCD673" w14:textId="77777777" w:rsidR="002C1B58" w:rsidRPr="00B06F4F" w:rsidRDefault="002C1B58">
      <w:pPr>
        <w:pStyle w:val="SFPd"/>
        <w:rPr>
          <w:color w:val="000000"/>
          <w:lang w:val="pt-BR"/>
        </w:rPr>
      </w:pPr>
      <w:r w:rsidRPr="00B06F4F">
        <w:rPr>
          <w:color w:val="000000"/>
          <w:lang w:val="pt-BR"/>
        </w:rPr>
        <w:t xml:space="preserve">        </w:t>
      </w:r>
    </w:p>
    <w:p w14:paraId="467BF782" w14:textId="77777777" w:rsidR="002C1B58" w:rsidRPr="00B06F4F" w:rsidRDefault="002C1B58">
      <w:pPr>
        <w:pStyle w:val="SFPd"/>
        <w:rPr>
          <w:color w:val="000000"/>
          <w:lang w:val="pt-BR"/>
        </w:rPr>
      </w:pPr>
      <w:r>
        <w:rPr>
          <w:color w:val="000000"/>
          <w:lang w:val="pt-BR"/>
        </w:rPr>
        <w:t>109. En este contexto, aunque el Convenio de La Haya de 1980 impone un procedimiento caracterizado por la rapidez y las pruebas limitadas, no se puede ignorar la realidad concreta de la mujer y el niño involucrados en la sustracción internacional. Esto abre la posibilidad para que el juez, a partir de información que apunte a una situación de violencia doméstica, tenga en cuenta cómo será la vida de la madre y el niño después de su regreso, analizando el contexto del que huyó la mujer y las circunstancias que encontrará a su regreso[70]. La octava reunión de la Comisión Especial para los Convenios de La Haya de 1980 y 1996 reforzó este entendimiento (conclusión n. 25 [71]).</w:t>
      </w:r>
    </w:p>
    <w:p w14:paraId="1CD31F34" w14:textId="77777777" w:rsidR="002C1B58" w:rsidRPr="00B06F4F" w:rsidRDefault="002C1B58">
      <w:pPr>
        <w:pStyle w:val="SFPd"/>
        <w:rPr>
          <w:color w:val="000000"/>
          <w:lang w:val="pt-BR"/>
        </w:rPr>
      </w:pPr>
      <w:r w:rsidRPr="00B06F4F">
        <w:rPr>
          <w:color w:val="000000"/>
          <w:lang w:val="pt-BR"/>
        </w:rPr>
        <w:t xml:space="preserve">        </w:t>
      </w:r>
    </w:p>
    <w:p w14:paraId="6A60D3B9" w14:textId="77777777" w:rsidR="002C1B58" w:rsidRPr="00B06F4F" w:rsidRDefault="002C1B58">
      <w:pPr>
        <w:pStyle w:val="SFPd"/>
        <w:rPr>
          <w:color w:val="000000"/>
          <w:lang w:val="pt-BR"/>
        </w:rPr>
      </w:pPr>
      <w:r>
        <w:rPr>
          <w:color w:val="000000"/>
          <w:lang w:val="pt-BR"/>
        </w:rPr>
        <w:t>110. Por todas estas razones, ante las noticias de violencia doméstica contra las mujeres, la aplicación del Convenio de La Haya de 1980 por parte del Poder Judicial no puede limitarse a un análisis abstracto y descontextualizado de sus disposiciones. El juez está obligado a realizar un análisis de la sentencia con perspectiva de género, exigiendo una verificación concreta, proporcional y sensible del contexto de violencia de género, evitando enfoques que puedan perpetuar desigualdades estructurales y reforzar las asimetrías de género, ante la necesidad de priorizar la integridad y el bienestar del niño[72].</w:t>
      </w:r>
    </w:p>
    <w:p w14:paraId="1FA74523" w14:textId="77777777" w:rsidR="002C1B58" w:rsidRPr="00B06F4F" w:rsidRDefault="002C1B58">
      <w:pPr>
        <w:pStyle w:val="SFPd"/>
        <w:rPr>
          <w:color w:val="000000"/>
          <w:lang w:val="pt-BR"/>
        </w:rPr>
      </w:pPr>
      <w:r w:rsidRPr="00B06F4F">
        <w:rPr>
          <w:color w:val="000000"/>
          <w:lang w:val="pt-BR"/>
        </w:rPr>
        <w:t xml:space="preserve">        </w:t>
      </w:r>
    </w:p>
    <w:p w14:paraId="6F141CE3" w14:textId="77777777" w:rsidR="002C1B58" w:rsidRPr="00B06F4F" w:rsidRDefault="002C1B58">
      <w:pPr>
        <w:pStyle w:val="SFPd"/>
        <w:rPr>
          <w:color w:val="000000"/>
          <w:lang w:val="pt-BR"/>
        </w:rPr>
      </w:pPr>
      <w:r>
        <w:rPr>
          <w:color w:val="000000"/>
          <w:lang w:val="pt-BR"/>
        </w:rPr>
        <w:t xml:space="preserve">111. La perspectiva de género refuerza la posibilidad de que el Poder Judicial considere la existencia de violencia doméstica contra las mujeres al evaluar la denominada “excepción de riesgo grave”, prevista en el art. 13 (1) (b) del Convenio de La Haya de 1980, la solicitud de restitución podrá ser denegada. Esta conclusión exige, sin embargo, la definición de un estándar probatorio equilibrado y apropiado a la naturaleza y forma de funcionamiento de la Convención. </w:t>
      </w:r>
    </w:p>
    <w:p w14:paraId="71A5341C" w14:textId="77777777" w:rsidR="002C1B58" w:rsidRPr="00B06F4F" w:rsidRDefault="002C1B58">
      <w:pPr>
        <w:pStyle w:val="SFPd"/>
        <w:rPr>
          <w:color w:val="000000"/>
          <w:lang w:val="pt-BR"/>
        </w:rPr>
      </w:pPr>
      <w:r w:rsidRPr="00B06F4F">
        <w:rPr>
          <w:color w:val="000000"/>
          <w:lang w:val="pt-BR"/>
        </w:rPr>
        <w:t xml:space="preserve">        </w:t>
      </w:r>
    </w:p>
    <w:p w14:paraId="69CD1BEB" w14:textId="77777777" w:rsidR="002C1B58" w:rsidRPr="00B06F4F" w:rsidRDefault="002C1B58">
      <w:pPr>
        <w:pStyle w:val="SFPd"/>
        <w:rPr>
          <w:color w:val="000000"/>
          <w:lang w:val="pt-BR"/>
        </w:rPr>
      </w:pPr>
      <w:r>
        <w:rPr>
          <w:i/>
          <w:iCs/>
          <w:color w:val="000000"/>
          <w:u w:val="single"/>
          <w:lang w:val="pt-BR"/>
        </w:rPr>
        <w:t>Norma probatoria en situaciones de violencia doméstica con excepción de riesgo grave para el niño</w:t>
      </w:r>
    </w:p>
    <w:p w14:paraId="7CB4E90C" w14:textId="77777777" w:rsidR="002C1B58" w:rsidRPr="00B06F4F" w:rsidRDefault="002C1B58">
      <w:pPr>
        <w:pStyle w:val="SFPd"/>
        <w:rPr>
          <w:color w:val="000000"/>
          <w:lang w:val="pt-BR"/>
        </w:rPr>
      </w:pPr>
      <w:r w:rsidRPr="00B06F4F">
        <w:rPr>
          <w:color w:val="000000"/>
          <w:lang w:val="pt-BR"/>
        </w:rPr>
        <w:t xml:space="preserve">        </w:t>
      </w:r>
    </w:p>
    <w:p w14:paraId="435D7A07" w14:textId="77777777" w:rsidR="002C1B58" w:rsidRPr="00B06F4F" w:rsidRDefault="002C1B58">
      <w:pPr>
        <w:pStyle w:val="SFPd"/>
        <w:rPr>
          <w:color w:val="000000"/>
          <w:lang w:val="pt-BR"/>
        </w:rPr>
      </w:pPr>
      <w:r>
        <w:rPr>
          <w:color w:val="000000"/>
          <w:lang w:val="pt-BR"/>
        </w:rPr>
        <w:t xml:space="preserve">112. La definición del estándar probatorio necesario para el </w:t>
      </w:r>
      <w:r>
        <w:rPr>
          <w:color w:val="000000"/>
          <w:lang w:val="pt-BR"/>
        </w:rPr>
        <w:lastRenderedPageBreak/>
        <w:t>reconocimiento de una situación de violencia doméstica en el contexto del Convenio de La Haya de 1980 constituye una cuestión central para la aplicación de la excepción a la restitución del niño. Por un lado, es necesario evitar acusaciones infundadas, sin ningún sustento probatorio, que menoscaben la presunción de retorno inmediato de la Convención y conviertan la excepción en regla. Por otro lado, no se puede imponer una carga de la prueba desproporcionada y poco realista, incapaz de proteger adecuadamente los derechos de los niños y las mujeres cuando existe un escenario claro y convincente de violencia doméstica. Además, los procedimientos no pueden generar la necesidad de grandes retrasos en la prueba, incompatibles con la celeridad que exige el instrumento internacional.</w:t>
      </w:r>
    </w:p>
    <w:p w14:paraId="741F445E" w14:textId="77777777" w:rsidR="002C1B58" w:rsidRPr="00B06F4F" w:rsidRDefault="002C1B58">
      <w:pPr>
        <w:pStyle w:val="SFPd"/>
        <w:rPr>
          <w:color w:val="000000"/>
          <w:lang w:val="pt-BR"/>
        </w:rPr>
      </w:pPr>
      <w:r w:rsidRPr="00B06F4F">
        <w:rPr>
          <w:color w:val="000000"/>
          <w:lang w:val="pt-BR"/>
        </w:rPr>
        <w:t xml:space="preserve">        </w:t>
      </w:r>
    </w:p>
    <w:p w14:paraId="6E8EC494" w14:textId="77777777" w:rsidR="002C1B58" w:rsidRPr="00B06F4F" w:rsidRDefault="002C1B58">
      <w:pPr>
        <w:pStyle w:val="SFPd"/>
        <w:rPr>
          <w:color w:val="000000"/>
          <w:lang w:val="pt-BR"/>
        </w:rPr>
      </w:pPr>
      <w:r>
        <w:rPr>
          <w:color w:val="000000"/>
          <w:lang w:val="pt-BR"/>
        </w:rPr>
        <w:t>113. Para abordar este tema es necesario establecer la premisa de que la violencia doméstica contra las mujeres presenta, por su propia naturaleza, dificultades probatorias estructurales. En la mayoría de los casos, la violencia ocurre en el ámbito privado del hogar familiar, lejos de los ojos de los testigos. Este desafío se vuelve aún mayor cuando la víctima es una mujer migrante, que se encuentra aislada de su red de apoyo y a menudo enfrenta barreras lingüísticas, institucionales y culturales que hacen imposible registrar formalmente la violencia en un país extranjero. El requisito de presentar informes policiales o registros médicos como prueba a menudo ignora la dificultad de acceder a los sistemas legales y sanitarios en el extranjero. Según nota técnica de ACAF[73]:</w:t>
      </w:r>
    </w:p>
    <w:p w14:paraId="76185A79" w14:textId="77777777" w:rsidR="002C1B58" w:rsidRPr="00B06F4F" w:rsidRDefault="002C1B58">
      <w:pPr>
        <w:pStyle w:val="SFPd"/>
        <w:rPr>
          <w:color w:val="000000"/>
          <w:lang w:val="pt-BR"/>
        </w:rPr>
      </w:pPr>
      <w:r w:rsidRPr="00B06F4F">
        <w:rPr>
          <w:color w:val="000000"/>
          <w:lang w:val="pt-BR"/>
        </w:rPr>
        <w:t xml:space="preserve">        </w:t>
      </w:r>
    </w:p>
    <w:p w14:paraId="1F53C5C7" w14:textId="77777777" w:rsidR="002C1B58" w:rsidRPr="00B06F4F" w:rsidRDefault="002C1B58">
      <w:pPr>
        <w:pStyle w:val="SFCto"/>
        <w:rPr>
          <w:color w:val="000000"/>
          <w:lang w:val="pt-BR"/>
        </w:rPr>
      </w:pPr>
      <w:r>
        <w:rPr>
          <w:color w:val="000000"/>
          <w:lang w:val="pt-BR"/>
        </w:rPr>
        <w:t>Las grandes dificultades para probar la violencia doméstica ocurrida en el exterior es el principal punto de debilidad de los argumentos de las madres que traen a sus hijos a Brasil de forma aparentemente ilícita. A menudo, las dificultades encontradas van desde la falta de conocimiento de la lengua y del sistema de justicia local hasta la falta de una red de apoyo (amigos, familiares y conocidos) que pueda proporcionar datos, registros, acogida y ayuda en caso de agresión. Parece que la percepción sobre la violencia doméstica en otros países signatarios del Convenio de La Haya de 1980 no es similar a la percepción brasileña, cuya red de protección formada tras la publicación de la Ley Maria da Penha se fortalece cada día.</w:t>
      </w:r>
    </w:p>
    <w:p w14:paraId="6BD71378" w14:textId="77777777" w:rsidR="002C1B58" w:rsidRPr="00B06F4F" w:rsidRDefault="002C1B58">
      <w:pPr>
        <w:pStyle w:val="SFCto"/>
        <w:rPr>
          <w:color w:val="000000"/>
          <w:lang w:val="pt-BR"/>
        </w:rPr>
      </w:pPr>
      <w:r>
        <w:rPr>
          <w:color w:val="000000"/>
          <w:lang w:val="pt-BR"/>
        </w:rPr>
        <w:t>(...)</w:t>
      </w:r>
    </w:p>
    <w:p w14:paraId="3512DAEE" w14:textId="77777777" w:rsidR="002C1B58" w:rsidRPr="00B06F4F" w:rsidRDefault="002C1B58">
      <w:pPr>
        <w:pStyle w:val="SFCto"/>
        <w:rPr>
          <w:color w:val="000000"/>
          <w:lang w:val="pt-BR"/>
        </w:rPr>
      </w:pPr>
      <w:r>
        <w:rPr>
          <w:color w:val="000000"/>
          <w:lang w:val="pt-BR"/>
        </w:rPr>
        <w:t xml:space="preserve">La violencia doméstica es un fenómeno relativamente reciente de aplicación convencional, surgiendo con gran impulso a partir de 2015 en los casos brasileños. De manera indeleble, la configuración del concepto de 'riesgo grave' cambió, ante una realidad ineludible pero incierta, ante la gran cantidad de denuncias sin sustento probatorio. Un punto aún complejo se </w:t>
      </w:r>
      <w:r>
        <w:rPr>
          <w:color w:val="000000"/>
          <w:lang w:val="pt-BR"/>
        </w:rPr>
        <w:lastRenderedPageBreak/>
        <w:t xml:space="preserve">refiere a las dificultades que enfrentan las madres brasileñas para probar las acusaciones, que constituyen, en teoría, una prueba diabólica. </w:t>
      </w:r>
    </w:p>
    <w:p w14:paraId="2F65AB83" w14:textId="77777777" w:rsidR="002C1B58" w:rsidRPr="00B06F4F" w:rsidRDefault="002C1B58">
      <w:pPr>
        <w:pStyle w:val="SFCto"/>
        <w:rPr>
          <w:color w:val="000000"/>
          <w:lang w:val="pt-BR"/>
        </w:rPr>
      </w:pPr>
      <w:r>
        <w:rPr>
          <w:color w:val="000000"/>
          <w:lang w:val="pt-BR"/>
        </w:rPr>
        <w:t>2.13. La realidad vivida en ACAF/DRCI demuestra que, dada la escasa comprensión de las contrapartes para llevar a cabo medidas relacionadas con presuntos actos de violencia doméstica, las dificultades para constituir pruebas materiales o incluso acusaciones siguen siendo grandes. Muchas Autoridades Centrales se resisten hasta el día de hoy a ordenar a la policía que verifique los datos reclamados por las madres, afirmando que esta función no sería suya, lo que contradice las disposiciones del artículo 7, párrafos "h" (promover el retorno seguro del niño) e "i" (mantenerse mutuamente informados sobre el funcionamiento del Convenio para eliminar los obstáculos a su aplicación).</w:t>
      </w:r>
    </w:p>
    <w:p w14:paraId="6A718C44" w14:textId="77777777" w:rsidR="002C1B58" w:rsidRPr="00B06F4F" w:rsidRDefault="002C1B58">
      <w:pPr>
        <w:pStyle w:val="SFPd"/>
        <w:rPr>
          <w:color w:val="000000"/>
          <w:lang w:val="pt-BR"/>
        </w:rPr>
      </w:pPr>
      <w:r w:rsidRPr="00B06F4F">
        <w:rPr>
          <w:color w:val="000000"/>
          <w:lang w:val="pt-BR"/>
        </w:rPr>
        <w:t xml:space="preserve">        </w:t>
      </w:r>
    </w:p>
    <w:p w14:paraId="211EF814" w14:textId="77777777" w:rsidR="002C1B58" w:rsidRPr="00B06F4F" w:rsidRDefault="002C1B58">
      <w:pPr>
        <w:pStyle w:val="SFPd"/>
        <w:rPr>
          <w:color w:val="000000"/>
          <w:lang w:val="pt-BR"/>
        </w:rPr>
      </w:pPr>
      <w:r>
        <w:rPr>
          <w:color w:val="000000"/>
          <w:lang w:val="pt-BR"/>
        </w:rPr>
        <w:t>114. No se puede subestimar la vulnerabilidad de estas mujeres. El contexto migratorio los coloca a menudo en una posición de desventaja estructural, en la que raza, género y nacionalidad se entrelazan para empeorar la dificultad de acceder a la protección estatal. No es infrecuente que los sistemas jurídicos extranjeros reproduzcan estereotipos y discriminación contra los inmigrantes, lo que dificulta el reconocimiento de su condición de víctimas.</w:t>
      </w:r>
    </w:p>
    <w:p w14:paraId="3C1FD5E8" w14:textId="77777777" w:rsidR="002C1B58" w:rsidRPr="00B06F4F" w:rsidRDefault="002C1B58">
      <w:pPr>
        <w:pStyle w:val="SFPd"/>
        <w:rPr>
          <w:color w:val="000000"/>
          <w:lang w:val="pt-BR"/>
        </w:rPr>
      </w:pPr>
      <w:r w:rsidRPr="00B06F4F">
        <w:rPr>
          <w:color w:val="000000"/>
          <w:lang w:val="pt-BR"/>
        </w:rPr>
        <w:t xml:space="preserve">        </w:t>
      </w:r>
    </w:p>
    <w:p w14:paraId="2C5DF96D" w14:textId="77777777" w:rsidR="002C1B58" w:rsidRPr="00B06F4F" w:rsidRDefault="002C1B58">
      <w:pPr>
        <w:pStyle w:val="SFPd"/>
        <w:rPr>
          <w:color w:val="000000"/>
          <w:lang w:val="pt-BR"/>
        </w:rPr>
      </w:pPr>
      <w:r>
        <w:rPr>
          <w:color w:val="000000"/>
          <w:lang w:val="pt-BR"/>
        </w:rPr>
        <w:t>115. El problema se vuelve aún más delicado en la aplicación del Convenio de La Haya de 1980, especialmente cuando la ausencia de documentos formales puede interpretarse como la inexistencia de violencia. La Nota Técnica de Abogacía General de la Unión destaca que, de un total de 127 casos en los que se alegó violencia doméstica, 101 fueron sentenciados con base en el análisis sobre el fondos, pero sólo 19 decisiones reconocieron la ocurrencia de violencia doméstica, lo que representa alrededor del 18,81% de los casos juzgados[74].</w:t>
      </w:r>
    </w:p>
    <w:p w14:paraId="2C36A3C4" w14:textId="77777777" w:rsidR="002C1B58" w:rsidRPr="00B06F4F" w:rsidRDefault="002C1B58">
      <w:pPr>
        <w:pStyle w:val="SFPd"/>
        <w:rPr>
          <w:color w:val="000000"/>
          <w:lang w:val="pt-BR"/>
        </w:rPr>
      </w:pPr>
      <w:r w:rsidRPr="00B06F4F">
        <w:rPr>
          <w:color w:val="000000"/>
          <w:lang w:val="pt-BR"/>
        </w:rPr>
        <w:t xml:space="preserve">        </w:t>
      </w:r>
    </w:p>
    <w:p w14:paraId="47354F86" w14:textId="77777777" w:rsidR="002C1B58" w:rsidRPr="00B06F4F" w:rsidRDefault="002C1B58">
      <w:pPr>
        <w:pStyle w:val="SFPd"/>
        <w:rPr>
          <w:color w:val="000000"/>
          <w:lang w:val="pt-BR"/>
        </w:rPr>
      </w:pPr>
      <w:r>
        <w:rPr>
          <w:color w:val="000000"/>
          <w:lang w:val="pt-BR"/>
        </w:rPr>
        <w:t xml:space="preserve">116. Ante la innegable dificultad de probar una situación de violencia doméstica, el juez debe realizar con prontitud las diligencias encaminadas a la producción de prueba y adoptar las demás medidas necesarias para establecer y evaluar la existencia de violencia contra la mujer y su impacto en el bienestar del niño. Por lo tanto, los tribunales tienen el deber procesal de dar la debida consideración a las denuncias de violencia doméstica y familiar. Las declaraciones de la mujer no pueden pasarse por alto. Y, siempre que sea posible y apropiado, es necesario garantizar que el niño sea escuchado para expresar sus opiniones y deseos. </w:t>
      </w:r>
    </w:p>
    <w:p w14:paraId="63389FCB" w14:textId="77777777" w:rsidR="002C1B58" w:rsidRPr="00B06F4F" w:rsidRDefault="002C1B58">
      <w:pPr>
        <w:pStyle w:val="SFPd"/>
        <w:rPr>
          <w:color w:val="000000"/>
          <w:lang w:val="pt-BR"/>
        </w:rPr>
      </w:pPr>
      <w:r w:rsidRPr="00B06F4F">
        <w:rPr>
          <w:color w:val="000000"/>
          <w:lang w:val="pt-BR"/>
        </w:rPr>
        <w:t xml:space="preserve">        </w:t>
      </w:r>
    </w:p>
    <w:p w14:paraId="0E571FF7" w14:textId="77777777" w:rsidR="002C1B58" w:rsidRPr="00B06F4F" w:rsidRDefault="002C1B58">
      <w:pPr>
        <w:pStyle w:val="SFPd"/>
        <w:rPr>
          <w:color w:val="000000"/>
          <w:lang w:val="pt-BR"/>
        </w:rPr>
      </w:pPr>
      <w:r>
        <w:rPr>
          <w:color w:val="000000"/>
          <w:lang w:val="pt-BR"/>
        </w:rPr>
        <w:t xml:space="preserve">117. Este deber procesal debe, sin embargo, cumplirse en consonancia con las limitaciones cognitivas de los procesos de devolución (por ejemplo, no </w:t>
      </w:r>
      <w:r>
        <w:rPr>
          <w:color w:val="000000"/>
          <w:lang w:val="pt-BR"/>
        </w:rPr>
        <w:lastRenderedPageBreak/>
        <w:t>debe profundizar en cuestiones relativas a la custodia) y con las exigencias de celeridad y urgencia derivadas del carácter cautelar y sumario del procedimiento.</w:t>
      </w:r>
    </w:p>
    <w:p w14:paraId="3F720BD1" w14:textId="77777777" w:rsidR="002C1B58" w:rsidRPr="00B06F4F" w:rsidRDefault="002C1B58">
      <w:pPr>
        <w:pStyle w:val="SFPd"/>
        <w:rPr>
          <w:color w:val="000000"/>
          <w:lang w:val="pt-BR"/>
        </w:rPr>
      </w:pPr>
      <w:r w:rsidRPr="00B06F4F">
        <w:rPr>
          <w:color w:val="000000"/>
          <w:lang w:val="pt-BR"/>
        </w:rPr>
        <w:t xml:space="preserve">        </w:t>
      </w:r>
    </w:p>
    <w:p w14:paraId="153C1689" w14:textId="77777777" w:rsidR="002C1B58" w:rsidRPr="00B06F4F" w:rsidRDefault="002C1B58">
      <w:pPr>
        <w:pStyle w:val="SFPd"/>
        <w:rPr>
          <w:color w:val="000000"/>
          <w:lang w:val="pt-BR"/>
        </w:rPr>
      </w:pPr>
      <w:r>
        <w:rPr>
          <w:color w:val="000000"/>
          <w:lang w:val="pt-BR"/>
        </w:rPr>
        <w:t>118. Más específicamente en en cuanto al estándar probatorio, cabe señalar que la exigencia de un alto estándar, propio del proceso penal, como la prueba completa, evidente e irrefutable, no es compatible con la celeridad que exige la Convención ni con el principio del interés superior del niño ni con un juicio desde una perspectiva de género. La aplicación de la Convención no debe confundirse con una sentencia de responsabilidad penal, ni requiere prueba completa de materialidad y autoría para que la excepción vuelva a ser reconocida. Por tanto, la prueba del riesgo grave no puede interpretarse como requisito de demostración fehaciente de violencia, so pena de menoscabar la finalidad protectora del art. 13 (1) (b) y comprometer la eficacia del mecanismo de excepción de retorno.</w:t>
      </w:r>
    </w:p>
    <w:p w14:paraId="3D3955CB" w14:textId="77777777" w:rsidR="002C1B58" w:rsidRPr="00B06F4F" w:rsidRDefault="002C1B58">
      <w:pPr>
        <w:pStyle w:val="SFPd"/>
        <w:rPr>
          <w:color w:val="000000"/>
          <w:lang w:val="pt-BR"/>
        </w:rPr>
      </w:pPr>
      <w:r w:rsidRPr="00B06F4F">
        <w:rPr>
          <w:color w:val="000000"/>
          <w:lang w:val="pt-BR"/>
        </w:rPr>
        <w:t xml:space="preserve">        </w:t>
      </w:r>
    </w:p>
    <w:p w14:paraId="5B9D2649" w14:textId="77777777" w:rsidR="002C1B58" w:rsidRPr="00B06F4F" w:rsidRDefault="002C1B58">
      <w:pPr>
        <w:pStyle w:val="SFPd"/>
        <w:rPr>
          <w:color w:val="000000"/>
          <w:lang w:val="pt-BR"/>
        </w:rPr>
      </w:pPr>
      <w:r>
        <w:rPr>
          <w:color w:val="000000"/>
          <w:lang w:val="pt-BR"/>
        </w:rPr>
        <w:t>119. Por otro lado, las meras acusaciones de violencia doméstica no pueden reconocerse como suficientes para aplicar la excepción cuando no existen pruebas concretas y razonables. Esto convertiría la norma de restitución inmediata, que es la esencia de la Convención, en letra muerta, ya que el parámetro alentaría acusaciones infundadas e imprudentes por parte de los padres sustractores. La comprobación de una situación de violencia doméstica como fundamento para negarse a regresar no se satisface únicamente con la palabra de la víctima, requiriendo elementos de corroboración.</w:t>
      </w:r>
    </w:p>
    <w:p w14:paraId="36D29AAF" w14:textId="77777777" w:rsidR="002C1B58" w:rsidRPr="00B06F4F" w:rsidRDefault="002C1B58">
      <w:pPr>
        <w:pStyle w:val="SFPd"/>
        <w:rPr>
          <w:color w:val="000000"/>
          <w:lang w:val="pt-BR"/>
        </w:rPr>
      </w:pPr>
      <w:r w:rsidRPr="00B06F4F">
        <w:rPr>
          <w:color w:val="000000"/>
          <w:lang w:val="pt-BR"/>
        </w:rPr>
        <w:t xml:space="preserve">        </w:t>
      </w:r>
    </w:p>
    <w:p w14:paraId="4884EF16" w14:textId="77777777" w:rsidR="002C1B58" w:rsidRPr="00B06F4F" w:rsidRDefault="002C1B58">
      <w:pPr>
        <w:pStyle w:val="SFPd"/>
        <w:rPr>
          <w:color w:val="000000"/>
          <w:lang w:val="pt-BR"/>
        </w:rPr>
      </w:pPr>
      <w:r>
        <w:rPr>
          <w:color w:val="000000"/>
          <w:lang w:val="pt-BR"/>
        </w:rPr>
        <w:t>120. Tomados estos lineamientos, para establecer el estándar probatorio adecuado, se puede utilizar la Ley nº 14.713/2023 (“Ley de Custodia Compartida”), por analogía, que añadió el segundo párrafo al art. 1.584 del Código Civil, descartando la posibilidad de la custodia compartida “cuando concurran elementos que demuestren la probabilidad de riesgo de violencia doméstica o familiar”[75]. El mencionado dispositivo tiene como objetivo, en cognición sumaria y cautelar, preservar a mujeres y niños de ambientes de violencia doméstica o familiar, sin requerir prueba plena de su ocurrencia, debido a la urgencia en la deliberación y decisión que debe tomar el magistrado.</w:t>
      </w:r>
    </w:p>
    <w:p w14:paraId="2ED4EBB8" w14:textId="77777777" w:rsidR="002C1B58" w:rsidRPr="00B06F4F" w:rsidRDefault="002C1B58">
      <w:pPr>
        <w:pStyle w:val="SFPd"/>
        <w:rPr>
          <w:color w:val="000000"/>
          <w:lang w:val="pt-BR"/>
        </w:rPr>
      </w:pPr>
      <w:r w:rsidRPr="00B06F4F">
        <w:rPr>
          <w:color w:val="000000"/>
          <w:lang w:val="pt-BR"/>
        </w:rPr>
        <w:t xml:space="preserve">        </w:t>
      </w:r>
    </w:p>
    <w:p w14:paraId="3963CBAF" w14:textId="77777777" w:rsidR="002C1B58" w:rsidRPr="00B06F4F" w:rsidRDefault="002C1B58">
      <w:pPr>
        <w:pStyle w:val="SFPd"/>
        <w:rPr>
          <w:color w:val="000000"/>
          <w:lang w:val="pt-BR"/>
        </w:rPr>
      </w:pPr>
      <w:r>
        <w:rPr>
          <w:color w:val="000000"/>
          <w:lang w:val="pt-BR"/>
        </w:rPr>
        <w:t>121. Pues bien. La restitución del niño, en los términos del Convenio, es de naturaleza análoga a una medida cautelar, encaminada a preservar el statu quo hasta que la cuestión de la custodia se resuelva en el tribunal competente. La propia naturaleza del procedimiento, que no permite un gran retraso en la presentación de pruebas, exige que la evaluación del riesgo se produzca mediante la verificación de las pruebas.</w:t>
      </w:r>
    </w:p>
    <w:p w14:paraId="4489CA3F" w14:textId="77777777" w:rsidR="002C1B58" w:rsidRPr="00B06F4F" w:rsidRDefault="002C1B58">
      <w:pPr>
        <w:pStyle w:val="SFPd"/>
        <w:rPr>
          <w:color w:val="000000"/>
          <w:lang w:val="pt-BR"/>
        </w:rPr>
      </w:pPr>
      <w:r w:rsidRPr="00B06F4F">
        <w:rPr>
          <w:color w:val="000000"/>
          <w:lang w:val="pt-BR"/>
        </w:rPr>
        <w:lastRenderedPageBreak/>
        <w:t xml:space="preserve">        </w:t>
      </w:r>
    </w:p>
    <w:p w14:paraId="7520AC46" w14:textId="77777777" w:rsidR="002C1B58" w:rsidRPr="00B06F4F" w:rsidRDefault="002C1B58">
      <w:pPr>
        <w:pStyle w:val="SFPd"/>
        <w:rPr>
          <w:color w:val="000000"/>
          <w:lang w:val="pt-BR"/>
        </w:rPr>
      </w:pPr>
      <w:r>
        <w:rPr>
          <w:color w:val="000000"/>
          <w:lang w:val="pt-BR"/>
        </w:rPr>
        <w:t xml:space="preserve">122. Art. 239 del Código Procesal Penal define la prueba como “una circunstancia conocida y probada, que, teniendo relación con el hecho, autoriza, por inducción, a concluir la existencia de otra u otras circunstancias”. Esto se denomina “prueba indirecta” [76], en la que circunstancias conocidas y probadas permiten al juez reconstruir los hechos, valorando la probabilidad de que ocurra la situación alegada [77]. </w:t>
      </w:r>
    </w:p>
    <w:p w14:paraId="017DEE06" w14:textId="77777777" w:rsidR="002C1B58" w:rsidRPr="00B06F4F" w:rsidRDefault="002C1B58">
      <w:pPr>
        <w:pStyle w:val="SFPd"/>
        <w:rPr>
          <w:color w:val="000000"/>
          <w:lang w:val="pt-BR"/>
        </w:rPr>
      </w:pPr>
      <w:r w:rsidRPr="00B06F4F">
        <w:rPr>
          <w:color w:val="000000"/>
          <w:lang w:val="pt-BR"/>
        </w:rPr>
        <w:t xml:space="preserve">        </w:t>
      </w:r>
    </w:p>
    <w:p w14:paraId="57210191" w14:textId="77777777" w:rsidR="002C1B58" w:rsidRPr="00B06F4F" w:rsidRDefault="002C1B58">
      <w:pPr>
        <w:pStyle w:val="SFPd"/>
        <w:rPr>
          <w:color w:val="000000"/>
          <w:lang w:val="pt-BR"/>
        </w:rPr>
      </w:pPr>
      <w:r>
        <w:rPr>
          <w:color w:val="000000"/>
          <w:lang w:val="pt-BR"/>
        </w:rPr>
        <w:t>123. En esta línea, de hecho, se encuentra la opinión del Ministerio Público, que opina que la negativa de retorno debe basarse en pruebas o sospecha fundada de violencia doméstica, incluso si el niño es una víctima indirecta, requiriendo elementos de convicción objetivos y concretos capaces de sustentar la hipótesis.</w:t>
      </w:r>
    </w:p>
    <w:p w14:paraId="28460A05" w14:textId="77777777" w:rsidR="002C1B58" w:rsidRPr="00B06F4F" w:rsidRDefault="002C1B58">
      <w:pPr>
        <w:pStyle w:val="SFPd"/>
        <w:rPr>
          <w:color w:val="000000"/>
          <w:lang w:val="pt-BR"/>
        </w:rPr>
      </w:pPr>
      <w:r w:rsidRPr="00B06F4F">
        <w:rPr>
          <w:color w:val="000000"/>
          <w:lang w:val="pt-BR"/>
        </w:rPr>
        <w:t xml:space="preserve">        </w:t>
      </w:r>
    </w:p>
    <w:p w14:paraId="21FB27CD" w14:textId="77777777" w:rsidR="002C1B58" w:rsidRPr="00B06F4F" w:rsidRDefault="002C1B58">
      <w:pPr>
        <w:pStyle w:val="SFPd"/>
        <w:rPr>
          <w:color w:val="000000"/>
          <w:lang w:val="pt-BR"/>
        </w:rPr>
      </w:pPr>
      <w:r>
        <w:rPr>
          <w:color w:val="000000"/>
          <w:lang w:val="pt-BR"/>
        </w:rPr>
        <w:t>124. La verificación de una situación de violencia doméstica susceptible de justificar la negativa de retorno, con base en el art. 13 (1) (b) del Convenio de La Haya de 1980, debe estar respaldado por pruebas: elementos objetivos y concretos que den verosimilitud y plausibilidad a la alegación de riesgo grave. Es necesario que los elementos aportados al caso permitan formarse un juicio fundado sobre la existencia de un contexto de violencia con el potencial de exponer al niño – directa o reflexivamente – a daños físicos o psicológicos, o colocarlo en una situación intolerable en el Estado de destino. Se trata, por tanto, de un examen cualitativo y contextualizado, capaz de conferir probabilidad a la hipótesis alegada, compatible con la rapidez del procedimiento y con los principios constitucionales de protección integral, el interés superior del niño y la protección de la mujer. Ejemplos de pruebas en este contexto son: atestados policiales, informes médicos o psicológicos, fotografías, mensajes en aplicaciones de mensajería privada, correos electrónicos, testimonios idóneos, actuaciones de servicios sociales, etc.</w:t>
      </w:r>
    </w:p>
    <w:p w14:paraId="3B32AFFA" w14:textId="77777777" w:rsidR="002C1B58" w:rsidRPr="00B06F4F" w:rsidRDefault="002C1B58">
      <w:pPr>
        <w:pStyle w:val="SFPd"/>
        <w:rPr>
          <w:color w:val="000000"/>
          <w:lang w:val="pt-BR"/>
        </w:rPr>
      </w:pPr>
      <w:r w:rsidRPr="00B06F4F">
        <w:rPr>
          <w:color w:val="000000"/>
          <w:lang w:val="pt-BR"/>
        </w:rPr>
        <w:t xml:space="preserve">        </w:t>
      </w:r>
    </w:p>
    <w:p w14:paraId="2295CEC2" w14:textId="77777777" w:rsidR="002C1B58" w:rsidRPr="00B06F4F" w:rsidRDefault="002C1B58">
      <w:pPr>
        <w:pStyle w:val="SFPd"/>
        <w:rPr>
          <w:color w:val="000000"/>
          <w:lang w:val="pt-BR"/>
        </w:rPr>
      </w:pPr>
      <w:r>
        <w:rPr>
          <w:color w:val="000000"/>
          <w:lang w:val="pt-BR"/>
        </w:rPr>
        <w:t xml:space="preserve">125. Finalmente, en los casos en que no se cumpla el estándar probatorio demandado, la determinación de la restitución del niño debe, siempre que sea posible, ir acompañada de precauciones y condiciones para garantizar su interés superior, tales como medidas de protección y garantías de retorno seguro. Los compromisos voluntarios de los padres pueden incluir, por ejemplo, el pago de gastos como el alquiler, la guardería y el seguro médico del niño y de la madre. El Estado de residencia habitual también podrá, en su caso, comprometerse a contribuir a la expedición de visa para la madre, persecución no penal, apoyo en la obtención de asistencia jurídica, entre otros.  </w:t>
      </w:r>
    </w:p>
    <w:p w14:paraId="6829A025" w14:textId="77777777" w:rsidR="002C1B58" w:rsidRPr="00B06F4F" w:rsidRDefault="002C1B58">
      <w:pPr>
        <w:pStyle w:val="SFPd"/>
        <w:rPr>
          <w:color w:val="000000"/>
          <w:lang w:val="pt-BR"/>
        </w:rPr>
      </w:pPr>
      <w:r w:rsidRPr="00B06F4F">
        <w:rPr>
          <w:color w:val="000000"/>
          <w:lang w:val="pt-BR"/>
        </w:rPr>
        <w:t xml:space="preserve">        </w:t>
      </w:r>
    </w:p>
    <w:p w14:paraId="1FF1AA13" w14:textId="77777777" w:rsidR="002C1B58" w:rsidRPr="00B06F4F" w:rsidRDefault="002C1B58">
      <w:pPr>
        <w:pStyle w:val="SFPdCnrlzd"/>
        <w:rPr>
          <w:color w:val="000000"/>
          <w:lang w:val="pt-BR"/>
        </w:rPr>
      </w:pPr>
      <w:r>
        <w:rPr>
          <w:smallCaps/>
          <w:color w:val="000000"/>
          <w:lang w:val="pt-BR"/>
        </w:rPr>
        <w:t>Parte III</w:t>
      </w:r>
    </w:p>
    <w:p w14:paraId="15164D55" w14:textId="77777777" w:rsidR="002C1B58" w:rsidRPr="00B06F4F" w:rsidRDefault="002C1B58">
      <w:pPr>
        <w:pStyle w:val="SFPdCnrlzd"/>
        <w:rPr>
          <w:color w:val="000000"/>
          <w:lang w:val="pt-BR"/>
        </w:rPr>
      </w:pPr>
      <w:r>
        <w:rPr>
          <w:smallCaps/>
          <w:color w:val="000000"/>
          <w:lang w:val="pt-BR"/>
        </w:rPr>
        <w:t>Análisis de otras supuestas inconstitucionalidades</w:t>
      </w:r>
    </w:p>
    <w:p w14:paraId="13A172B9" w14:textId="77777777" w:rsidR="002C1B58" w:rsidRPr="00B06F4F" w:rsidRDefault="002C1B58">
      <w:pPr>
        <w:pStyle w:val="SFPd"/>
        <w:rPr>
          <w:color w:val="000000"/>
          <w:lang w:val="pt-BR"/>
        </w:rPr>
      </w:pPr>
      <w:r w:rsidRPr="00B06F4F">
        <w:rPr>
          <w:color w:val="000000"/>
          <w:lang w:val="pt-BR"/>
        </w:rPr>
        <w:lastRenderedPageBreak/>
        <w:t xml:space="preserve">        </w:t>
      </w:r>
    </w:p>
    <w:p w14:paraId="33BAE991" w14:textId="77777777" w:rsidR="002C1B58" w:rsidRPr="00B06F4F" w:rsidRDefault="002C1B58">
      <w:pPr>
        <w:pStyle w:val="SFPd"/>
        <w:rPr>
          <w:color w:val="000000"/>
          <w:lang w:val="pt-BR"/>
        </w:rPr>
      </w:pPr>
      <w:r>
        <w:rPr>
          <w:color w:val="000000"/>
          <w:lang w:val="pt-BR"/>
        </w:rPr>
        <w:t xml:space="preserve">126. Paso a la valoración de los demás alegatos de inconstitucionalidad del Convenio de La Haya de 1980 de ADI 4.245, dividiendo el razonamiento en cinco bloques de análisis: (i) Restitución inmediata del niño y adopción de medidas urgentes (arts. 1, 7, caput, 11 y 18); (ii) Limitación de la pretensión del niño de adaptarse al Brasil (art. 12); (iii) Interposición de acciones por parte de Abogacía General de la Unión (artículos 7, “f”, y 21); (iv) ratificación de decisiones extranjeras por el STJ (arts. 3 y 15); y (v) Análisis del fondo del derecho de custodia (arts. 16 y 17). </w:t>
      </w:r>
    </w:p>
    <w:p w14:paraId="249F28A8" w14:textId="77777777" w:rsidR="002C1B58" w:rsidRPr="00B06F4F" w:rsidRDefault="002C1B58">
      <w:pPr>
        <w:pStyle w:val="SFPd"/>
        <w:rPr>
          <w:color w:val="000000"/>
          <w:lang w:val="pt-BR"/>
        </w:rPr>
      </w:pPr>
      <w:r w:rsidRPr="00B06F4F">
        <w:rPr>
          <w:color w:val="000000"/>
          <w:lang w:val="pt-BR"/>
        </w:rPr>
        <w:t xml:space="preserve">        </w:t>
      </w:r>
    </w:p>
    <w:p w14:paraId="08E78BBA" w14:textId="77777777" w:rsidR="002C1B58" w:rsidRPr="00B06F4F" w:rsidRDefault="002C1B58">
      <w:pPr>
        <w:pStyle w:val="SFPd"/>
        <w:rPr>
          <w:color w:val="000000"/>
          <w:lang w:val="pt-BR"/>
        </w:rPr>
      </w:pPr>
      <w:r>
        <w:rPr>
          <w:color w:val="000000"/>
          <w:lang w:val="pt-BR"/>
        </w:rPr>
        <w:t>127. Quisiera decir, desde el principio, que no existe inconstitucionalidad en las disposiciones cuestionadas de la Convención.</w:t>
      </w:r>
    </w:p>
    <w:p w14:paraId="35E8181E" w14:textId="77777777" w:rsidR="002C1B58" w:rsidRPr="00B06F4F" w:rsidRDefault="002C1B58">
      <w:pPr>
        <w:pStyle w:val="SFPd"/>
        <w:rPr>
          <w:color w:val="000000"/>
          <w:lang w:val="pt-BR"/>
        </w:rPr>
      </w:pPr>
      <w:r w:rsidRPr="00B06F4F">
        <w:rPr>
          <w:smallCaps/>
          <w:color w:val="000000"/>
          <w:lang w:val="pt-BR"/>
        </w:rPr>
        <w:t xml:space="preserve">        </w:t>
      </w:r>
    </w:p>
    <w:p w14:paraId="23F1FD8F" w14:textId="77777777" w:rsidR="002C1B58" w:rsidRPr="00B06F4F" w:rsidRDefault="002C1B58">
      <w:pPr>
        <w:pStyle w:val="SFPd"/>
        <w:rPr>
          <w:color w:val="000000"/>
          <w:lang w:val="pt-BR"/>
        </w:rPr>
      </w:pPr>
      <w:r>
        <w:rPr>
          <w:b/>
          <w:bCs/>
          <w:color w:val="000000"/>
          <w:lang w:val="pt-BR"/>
        </w:rPr>
        <w:t xml:space="preserve">a) Restitución inmediata del niño y adopción de medidas urgentes: solicitud de interpretación conforme a la Constitución de los artículos 1, 7, caput, 11 y 18 de la Convención </w:t>
      </w:r>
    </w:p>
    <w:p w14:paraId="15991571" w14:textId="77777777" w:rsidR="002C1B58" w:rsidRPr="00B06F4F" w:rsidRDefault="002C1B58">
      <w:pPr>
        <w:pStyle w:val="SFPd"/>
        <w:rPr>
          <w:color w:val="000000"/>
          <w:lang w:val="pt-BR"/>
        </w:rPr>
      </w:pPr>
      <w:r w:rsidRPr="00B06F4F">
        <w:rPr>
          <w:color w:val="000000"/>
          <w:lang w:val="pt-BR"/>
        </w:rPr>
        <w:t xml:space="preserve">        </w:t>
      </w:r>
    </w:p>
    <w:p w14:paraId="2CD85643" w14:textId="77777777" w:rsidR="002C1B58" w:rsidRPr="00B06F4F" w:rsidRDefault="002C1B58">
      <w:pPr>
        <w:pStyle w:val="SFPd"/>
        <w:rPr>
          <w:color w:val="000000"/>
          <w:lang w:val="pt-BR"/>
        </w:rPr>
      </w:pPr>
      <w:r>
        <w:rPr>
          <w:color w:val="000000"/>
          <w:lang w:val="pt-BR"/>
        </w:rPr>
        <w:t>128. El solicitante solicita que se dé una interpretación conforme a la Constitución a los artículos 1, 7, caput, 11 y 18,[78] en el sentido de que la restitución inmediata del niño y la adopción de medidas urgentes sólo pueden determinarse después de evaluar las peculiaridades del caso concreto, mediante contradicción previa y robusta, a fin de evitar violaciones a los principios de dignidad humana y protección integral del niño (art. 1, III y 227 de la Constitución), y el debido proceso legal (art. 5, LIV y LV de la Constitución). En opinión del solicitante, bajo ninguna circunstancia se debe ordenar al niño regresar al Estado requirente sin saber exactamente a qué condiciones será sometido a su regreso, cuáles son los motivos que llevaron a su traslado a Brasil y si ya ha habido una adaptación a este Estado de tal manera que el retorno le resulte perjudicial.</w:t>
      </w:r>
    </w:p>
    <w:p w14:paraId="02720363" w14:textId="77777777" w:rsidR="002C1B58" w:rsidRPr="00B06F4F" w:rsidRDefault="002C1B58">
      <w:pPr>
        <w:pStyle w:val="SFPd"/>
        <w:rPr>
          <w:color w:val="000000"/>
          <w:lang w:val="pt-BR"/>
        </w:rPr>
      </w:pPr>
      <w:r w:rsidRPr="00B06F4F">
        <w:rPr>
          <w:color w:val="000000"/>
          <w:lang w:val="pt-BR"/>
        </w:rPr>
        <w:t xml:space="preserve">        </w:t>
      </w:r>
    </w:p>
    <w:p w14:paraId="6AF8A589" w14:textId="77777777" w:rsidR="002C1B58" w:rsidRPr="00B06F4F" w:rsidRDefault="002C1B58">
      <w:pPr>
        <w:pStyle w:val="SFPd"/>
        <w:rPr>
          <w:color w:val="000000"/>
          <w:lang w:val="pt-BR"/>
        </w:rPr>
      </w:pPr>
      <w:r>
        <w:rPr>
          <w:color w:val="000000"/>
          <w:lang w:val="pt-BR"/>
        </w:rPr>
        <w:t>129. Pues bien. Los mecanismos para la restitución inmediata del niño constituyen la esencia y razón de ser de la Convención de La Haya, establecida por el consenso de los Estados Partes como un mecanismo para proteger el desarrollo del niño y preservar sus vínculos familiares. La interpretación dada a estas disposiciones no puede debilitar el acuerdo ni constituir una hipótesis de denuncia informal del documento internacional, dañando la imagen de Brasil entre los demás Estados firmantes.</w:t>
      </w:r>
    </w:p>
    <w:p w14:paraId="5FF357EE" w14:textId="77777777" w:rsidR="002C1B58" w:rsidRPr="00B06F4F" w:rsidRDefault="002C1B58">
      <w:pPr>
        <w:pStyle w:val="SFPd"/>
        <w:rPr>
          <w:color w:val="000000"/>
          <w:lang w:val="pt-BR"/>
        </w:rPr>
      </w:pPr>
      <w:r w:rsidRPr="00B06F4F">
        <w:rPr>
          <w:color w:val="000000"/>
          <w:lang w:val="pt-BR"/>
        </w:rPr>
        <w:t xml:space="preserve">        </w:t>
      </w:r>
    </w:p>
    <w:p w14:paraId="15812A3E" w14:textId="77777777" w:rsidR="002C1B58" w:rsidRPr="00B06F4F" w:rsidRDefault="002C1B58">
      <w:pPr>
        <w:pStyle w:val="SFPd"/>
        <w:rPr>
          <w:color w:val="000000"/>
          <w:lang w:val="pt-BR"/>
        </w:rPr>
      </w:pPr>
      <w:r>
        <w:rPr>
          <w:color w:val="000000"/>
          <w:lang w:val="pt-BR"/>
        </w:rPr>
        <w:t xml:space="preserve">130. Como se ve, la propia Convención permite el análisis de las excepciones a la restitución inmediata a la luz del principio del interés superior del niño (art. 13, I y II, y art. 20), garantizando margen para la valoración judicial de las circunstancias del caso concreto en función de la existencia de riesgo grave, oposición motivada del niño o incompatibilidad </w:t>
      </w:r>
      <w:r>
        <w:rPr>
          <w:color w:val="000000"/>
          <w:lang w:val="pt-BR"/>
        </w:rPr>
        <w:lastRenderedPageBreak/>
        <w:t xml:space="preserve">con los derechos humanos. En estos casos, la Convención impone la carga de probar estas circunstancias a la persona, institución u organismo que se opone a la restitución del niño, lo que ha sido reconocido por la práctica de la Abogacía General de la Unión (AGU) de no recurrir las decisiones que deniegan la restitución cuando se demuestran tales riesgos. Hay, por tanto, espacio en la mecánica de la Convención para un análisis de la situación fáctica, con la garantía de un procedimiento principio de contradicción y una defensa amplia, incluso en el marco de un procedimiento rápido. </w:t>
      </w:r>
    </w:p>
    <w:p w14:paraId="173E4BC4" w14:textId="77777777" w:rsidR="002C1B58" w:rsidRPr="00B06F4F" w:rsidRDefault="002C1B58">
      <w:pPr>
        <w:pStyle w:val="SFPd"/>
        <w:rPr>
          <w:color w:val="000000"/>
          <w:lang w:val="pt-BR"/>
        </w:rPr>
      </w:pPr>
      <w:r w:rsidRPr="00B06F4F">
        <w:rPr>
          <w:color w:val="000000"/>
          <w:lang w:val="pt-BR"/>
        </w:rPr>
        <w:t xml:space="preserve">        </w:t>
      </w:r>
    </w:p>
    <w:p w14:paraId="4BED5D5E" w14:textId="77777777" w:rsidR="002C1B58" w:rsidRPr="00B06F4F" w:rsidRDefault="002C1B58">
      <w:pPr>
        <w:pStyle w:val="SFPd"/>
        <w:rPr>
          <w:color w:val="000000"/>
          <w:lang w:val="pt-BR"/>
        </w:rPr>
      </w:pPr>
      <w:r>
        <w:rPr>
          <w:color w:val="000000"/>
          <w:lang w:val="pt-BR"/>
        </w:rPr>
        <w:t>131. Además, con el objetivo de conciliar las exigencias de celeridad en el cumplimiento de la Convención, la Resolución CNJ n° 449/2022[79] estableció un rito procesal claro para las acciones de restitución, que incluye la producción de prueba y la celebración de audiencia de mediación e instrucción y juicio con la posibilidad de escuchar a testigos, incluso no residentes en Brasil, así como prueba pericial, asegurando que cada caso sea evaluado a la luz de sus particularidades.</w:t>
      </w:r>
    </w:p>
    <w:p w14:paraId="6C23BDB5" w14:textId="77777777" w:rsidR="002C1B58" w:rsidRPr="00B06F4F" w:rsidRDefault="002C1B58">
      <w:pPr>
        <w:pStyle w:val="SFPd"/>
        <w:rPr>
          <w:color w:val="000000"/>
          <w:lang w:val="pt-BR"/>
        </w:rPr>
      </w:pPr>
      <w:r w:rsidRPr="00B06F4F">
        <w:rPr>
          <w:color w:val="000000"/>
          <w:lang w:val="pt-BR"/>
        </w:rPr>
        <w:t xml:space="preserve">        </w:t>
      </w:r>
    </w:p>
    <w:p w14:paraId="3231AB70" w14:textId="77777777" w:rsidR="002C1B58" w:rsidRPr="00B06F4F" w:rsidRDefault="002C1B58">
      <w:pPr>
        <w:pStyle w:val="SFPd"/>
        <w:rPr>
          <w:color w:val="000000"/>
          <w:lang w:val="pt-BR"/>
        </w:rPr>
      </w:pPr>
      <w:r>
        <w:rPr>
          <w:color w:val="000000"/>
          <w:lang w:val="pt-BR"/>
        </w:rPr>
        <w:t xml:space="preserve">132. En vista de lo anterior, no se encuentra inconstitucionalidad alguna en los artículos 1, 7, caput, 11 y 18 del Convenio de La Haya de 1980. El tratado, aplicado de conformidad con su normativa nacional, concilia adecuadamente la eficacia de la cooperación internacional con el respeto al principio del interés superior del niño y la protección integral (art. 227, CF/1988). </w:t>
      </w:r>
    </w:p>
    <w:p w14:paraId="368AA3B5" w14:textId="77777777" w:rsidR="002C1B58" w:rsidRPr="00B06F4F" w:rsidRDefault="002C1B58">
      <w:pPr>
        <w:pStyle w:val="SFPd"/>
        <w:rPr>
          <w:color w:val="000000"/>
          <w:lang w:val="pt-BR"/>
        </w:rPr>
      </w:pPr>
      <w:r w:rsidRPr="00B06F4F">
        <w:rPr>
          <w:color w:val="000000"/>
          <w:lang w:val="pt-BR"/>
        </w:rPr>
        <w:t xml:space="preserve">        </w:t>
      </w:r>
    </w:p>
    <w:p w14:paraId="7FB71D2F" w14:textId="77777777" w:rsidR="002C1B58" w:rsidRPr="00B06F4F" w:rsidRDefault="002C1B58">
      <w:pPr>
        <w:pStyle w:val="SFPd"/>
        <w:rPr>
          <w:color w:val="000000"/>
          <w:lang w:val="pt-BR"/>
        </w:rPr>
      </w:pPr>
      <w:r>
        <w:rPr>
          <w:b/>
          <w:bCs/>
          <w:color w:val="000000"/>
          <w:lang w:val="pt-BR"/>
        </w:rPr>
        <w:t>b) Limitación de la pretensión del niño de adaptación a Brasil: artículo 12 de la Convención</w:t>
      </w:r>
    </w:p>
    <w:p w14:paraId="2EE78A63" w14:textId="77777777" w:rsidR="002C1B58" w:rsidRPr="00B06F4F" w:rsidRDefault="002C1B58">
      <w:pPr>
        <w:pStyle w:val="SFPd"/>
        <w:rPr>
          <w:color w:val="000000"/>
          <w:lang w:val="pt-BR"/>
        </w:rPr>
      </w:pPr>
      <w:r w:rsidRPr="00B06F4F">
        <w:rPr>
          <w:color w:val="000000"/>
          <w:lang w:val="pt-BR"/>
        </w:rPr>
        <w:t xml:space="preserve">        </w:t>
      </w:r>
    </w:p>
    <w:p w14:paraId="03B4CA9D" w14:textId="77777777" w:rsidR="002C1B58" w:rsidRPr="00B06F4F" w:rsidRDefault="002C1B58">
      <w:pPr>
        <w:pStyle w:val="SFPd"/>
        <w:rPr>
          <w:color w:val="000000"/>
          <w:lang w:val="pt-BR"/>
        </w:rPr>
      </w:pPr>
      <w:r>
        <w:rPr>
          <w:color w:val="000000"/>
          <w:lang w:val="pt-BR"/>
        </w:rPr>
        <w:t xml:space="preserve">133. El artículo 12 de la Convención [80] determina la restitución inmediata del niño si la solicitud se presenta dentro del año siguiente al traslado o retención indebida, sólo admitiendo la pretensión de adaptación del niño al nuevo entorno cuando la solicitud de restitución se realiza después de este plazo. El demandante postula que se dé una interpretación conforme a esta disposición de manera que se persiga el interés superior del niño en el caso específico incluso antes de que expire el año, bajo pena de violación de los arts. 1º, III; 5º, LIV y LV; y 227 de la Constitución.  </w:t>
      </w:r>
    </w:p>
    <w:p w14:paraId="49CDA9EC" w14:textId="77777777" w:rsidR="002C1B58" w:rsidRPr="00B06F4F" w:rsidRDefault="002C1B58">
      <w:pPr>
        <w:pStyle w:val="SFPd"/>
        <w:rPr>
          <w:color w:val="000000"/>
          <w:lang w:val="pt-BR"/>
        </w:rPr>
      </w:pPr>
      <w:r w:rsidRPr="00B06F4F">
        <w:rPr>
          <w:color w:val="000000"/>
          <w:lang w:val="pt-BR"/>
        </w:rPr>
        <w:t xml:space="preserve">        </w:t>
      </w:r>
    </w:p>
    <w:p w14:paraId="71FCA81C" w14:textId="77777777" w:rsidR="002C1B58" w:rsidRPr="00B06F4F" w:rsidRDefault="002C1B58">
      <w:pPr>
        <w:pStyle w:val="SFPd"/>
        <w:rPr>
          <w:color w:val="000000"/>
          <w:lang w:val="pt-BR"/>
        </w:rPr>
      </w:pPr>
      <w:r>
        <w:rPr>
          <w:color w:val="000000"/>
          <w:lang w:val="pt-BR"/>
        </w:rPr>
        <w:t xml:space="preserve">134. La Convención se basa en la premisa de que, en menos de un año, el niño aún no ha creado vínculos significativos en el nuevo país. La Resolución CNJ n.º 449/2022 refuerza esta lógica, prohibiendo la presentación de pruebas de adaptación si no ha transcurrido el plazo de un año (art. 14, § 3 [81]). Esta presunción de no adaptación durante el primer año pretende evitar que la estancia irregular sea utilizada como medio para estabilizar desplazamientos indebidos. Esta norma respeta los compromisos </w:t>
      </w:r>
      <w:r>
        <w:rPr>
          <w:color w:val="000000"/>
          <w:lang w:val="pt-BR"/>
        </w:rPr>
        <w:lastRenderedPageBreak/>
        <w:t>internacionales, garantiza seguridad jurídica y uniformidad en la aplicación del tratado, además de preservar el interés del niño, ya que no impide el análisis de otras excepciones al retorno.</w:t>
      </w:r>
    </w:p>
    <w:p w14:paraId="04CA3129" w14:textId="77777777" w:rsidR="002C1B58" w:rsidRPr="00B06F4F" w:rsidRDefault="002C1B58">
      <w:pPr>
        <w:pStyle w:val="SFPd"/>
        <w:rPr>
          <w:color w:val="000000"/>
          <w:lang w:val="pt-BR"/>
        </w:rPr>
      </w:pPr>
      <w:r w:rsidRPr="00B06F4F">
        <w:rPr>
          <w:color w:val="000000"/>
          <w:lang w:val="pt-BR"/>
        </w:rPr>
        <w:t xml:space="preserve">        </w:t>
      </w:r>
    </w:p>
    <w:p w14:paraId="5BCCB674" w14:textId="77777777" w:rsidR="002C1B58" w:rsidRPr="00B06F4F" w:rsidRDefault="002C1B58">
      <w:pPr>
        <w:pStyle w:val="SFPd"/>
        <w:rPr>
          <w:color w:val="000000"/>
          <w:lang w:val="pt-BR"/>
        </w:rPr>
      </w:pPr>
      <w:r>
        <w:rPr>
          <w:color w:val="000000"/>
          <w:lang w:val="pt-BR"/>
        </w:rPr>
        <w:t>135. La interpretación solicitada debilitaría el Convenio, contradiciendo su lógica y comprometiendo su eficacia. Relativizar el contenido de la Convención para permitir, antes del plazo de un año, acusaciones basadas en adaptación pondría a Brasil en riesgo de incumplir sus obligaciones internacionales, debilitando su posición ante futuras demandas de restitución y dañando la credibilidad del sistema de cooperación jurídica internacional. Por tanto, no cabe reconocer ninguna inconstitucionalidad en relación con el artículo 12 del Convenio de La Haya.</w:t>
      </w:r>
    </w:p>
    <w:p w14:paraId="578061B2" w14:textId="77777777" w:rsidR="002C1B58" w:rsidRPr="00B06F4F" w:rsidRDefault="002C1B58">
      <w:pPr>
        <w:pStyle w:val="SFPd"/>
        <w:rPr>
          <w:color w:val="000000"/>
          <w:lang w:val="pt-BR"/>
        </w:rPr>
      </w:pPr>
      <w:r w:rsidRPr="00B06F4F">
        <w:rPr>
          <w:color w:val="000000"/>
          <w:lang w:val="pt-BR"/>
        </w:rPr>
        <w:t xml:space="preserve">        </w:t>
      </w:r>
    </w:p>
    <w:p w14:paraId="7330D688" w14:textId="77777777" w:rsidR="002C1B58" w:rsidRPr="00B06F4F" w:rsidRDefault="002C1B58">
      <w:pPr>
        <w:pStyle w:val="SFPd"/>
        <w:rPr>
          <w:color w:val="000000"/>
          <w:lang w:val="pt-BR"/>
        </w:rPr>
      </w:pPr>
      <w:r>
        <w:rPr>
          <w:b/>
          <w:bCs/>
          <w:color w:val="000000"/>
          <w:lang w:val="pt-BR"/>
        </w:rPr>
        <w:t>c) Legitimación de la actuación de Abogacía General de la Unión: artículos 7, “f”, y 21 de la Convención</w:t>
      </w:r>
    </w:p>
    <w:p w14:paraId="33A31CB0" w14:textId="77777777" w:rsidR="002C1B58" w:rsidRPr="00B06F4F" w:rsidRDefault="002C1B58">
      <w:pPr>
        <w:pStyle w:val="SFPd"/>
        <w:rPr>
          <w:color w:val="000000"/>
          <w:lang w:val="pt-BR"/>
        </w:rPr>
      </w:pPr>
      <w:r w:rsidRPr="00B06F4F">
        <w:rPr>
          <w:color w:val="000000"/>
          <w:lang w:val="pt-BR"/>
        </w:rPr>
        <w:t xml:space="preserve">        </w:t>
      </w:r>
    </w:p>
    <w:p w14:paraId="13905A64" w14:textId="77777777" w:rsidR="002C1B58" w:rsidRPr="00B06F4F" w:rsidRDefault="002C1B58">
      <w:pPr>
        <w:pStyle w:val="SFPd"/>
        <w:rPr>
          <w:color w:val="000000"/>
          <w:lang w:val="pt-BR"/>
        </w:rPr>
      </w:pPr>
      <w:r>
        <w:rPr>
          <w:color w:val="000000"/>
          <w:lang w:val="pt-BR"/>
        </w:rPr>
        <w:t>136. El solicitante solicita la declaración parcial de inconstitucionalidad, sin reducir el texto, de los artículos 7, inciso “f”, y 21 de la Convención[82], por lo que se reconoce que la interposición de acciones de allanamiento, o regulación de visitas, directamente, por Abogacía General de la Unión, en defensa de particulares, viola los principios republicanos, la impersonalidad y la moral, pues la entidad pública estaría actuando predominantemente en defensa de intereses exclusivos o privados. intereses.</w:t>
      </w:r>
    </w:p>
    <w:p w14:paraId="23E868A0" w14:textId="77777777" w:rsidR="002C1B58" w:rsidRPr="00B06F4F" w:rsidRDefault="002C1B58">
      <w:pPr>
        <w:pStyle w:val="SFPd"/>
        <w:rPr>
          <w:color w:val="000000"/>
          <w:lang w:val="pt-BR"/>
        </w:rPr>
      </w:pPr>
      <w:r w:rsidRPr="00B06F4F">
        <w:rPr>
          <w:color w:val="000000"/>
          <w:lang w:val="pt-BR"/>
        </w:rPr>
        <w:t xml:space="preserve">        </w:t>
      </w:r>
    </w:p>
    <w:p w14:paraId="260281BE" w14:textId="77777777" w:rsidR="002C1B58" w:rsidRPr="00B06F4F" w:rsidRDefault="002C1B58">
      <w:pPr>
        <w:pStyle w:val="SFPd"/>
        <w:rPr>
          <w:color w:val="000000"/>
          <w:lang w:val="pt-BR"/>
        </w:rPr>
      </w:pPr>
      <w:r>
        <w:rPr>
          <w:color w:val="000000"/>
          <w:lang w:val="pt-BR"/>
        </w:rPr>
        <w:t>137. Sin embargo, las disposiciones impugnadas forman parte de un tratado internacional que establece deberes de cooperación entre los Estados signatarios para proteger los derechos de los niños detenidos indebidamente en otro país. En Brasil, esta cooperación es coordinada por la Autoridad Administrativa Central Federal (ACAF), cuya función, en los términos del Decreto nº 3.951/2001, es garantizar el cumplimiento efectivo de los compromisos internacionales asumidos por el país, incluso a través de la mediación y la adopción de medidas administrativas y judiciales. Actualmente, ACAF forma parte de la estructura del Departamento de Recuperación de Activos y Cooperación Jurídica Internacional (DRCI), vinculado a la Secretaría Nacional de Justicia del Ministerio de Justicia y Seguridad Pública (MJSP), que desempeña un papel destacado en la cooperación jurídica internacional, incluso en materias relacionadas con la sustracción internacional de niños, según lo regula el Decreto N° 11.348/2023[83]. El papel de la autoridad central en la estructura del MJSP otorga legitimidad a la representación de Abogacía General de la Unión (AGU) en acciones legales basadas en la Convención de La Haya.</w:t>
      </w:r>
    </w:p>
    <w:p w14:paraId="493811AB" w14:textId="77777777" w:rsidR="002C1B58" w:rsidRPr="00B06F4F" w:rsidRDefault="002C1B58">
      <w:pPr>
        <w:pStyle w:val="SFPd"/>
        <w:rPr>
          <w:color w:val="000000"/>
          <w:lang w:val="pt-BR"/>
        </w:rPr>
      </w:pPr>
      <w:r w:rsidRPr="00B06F4F">
        <w:rPr>
          <w:color w:val="000000"/>
          <w:lang w:val="pt-BR"/>
        </w:rPr>
        <w:t xml:space="preserve">        </w:t>
      </w:r>
    </w:p>
    <w:p w14:paraId="070A9714" w14:textId="77777777" w:rsidR="002C1B58" w:rsidRPr="00B06F4F" w:rsidRDefault="002C1B58">
      <w:pPr>
        <w:pStyle w:val="SFPd"/>
        <w:rPr>
          <w:color w:val="000000"/>
          <w:lang w:val="pt-BR"/>
        </w:rPr>
      </w:pPr>
      <w:r>
        <w:rPr>
          <w:color w:val="000000"/>
          <w:lang w:val="pt-BR"/>
        </w:rPr>
        <w:t xml:space="preserve">138. Por tanto, la actuación de la AGU en estos casos no puede </w:t>
      </w:r>
      <w:r>
        <w:rPr>
          <w:color w:val="000000"/>
          <w:lang w:val="pt-BR"/>
        </w:rPr>
        <w:lastRenderedPageBreak/>
        <w:t>confundirse con la defensa de intereses privados. Se trata del cumplimiento de una obligación estatal derivada de un tratado internacional de derechos humanos vigente, encaminado a proteger los derechos de los niños a nivel transnacional. El interés público subyacente –prevenir y reparar secuestros internacionales ilícitos– justifica las acciones de la Unión en materia de restitución y visitas, en nombre del compromiso internacional de Brasil de cumplir con la Convención de La Haya.</w:t>
      </w:r>
    </w:p>
    <w:p w14:paraId="3C529875" w14:textId="77777777" w:rsidR="002C1B58" w:rsidRPr="00B06F4F" w:rsidRDefault="002C1B58">
      <w:pPr>
        <w:pStyle w:val="SFPd"/>
        <w:rPr>
          <w:color w:val="000000"/>
          <w:lang w:val="pt-BR"/>
        </w:rPr>
      </w:pPr>
      <w:r w:rsidRPr="00B06F4F">
        <w:rPr>
          <w:color w:val="000000"/>
          <w:lang w:val="pt-BR"/>
        </w:rPr>
        <w:t xml:space="preserve">        </w:t>
      </w:r>
    </w:p>
    <w:p w14:paraId="47AF9134" w14:textId="77777777" w:rsidR="002C1B58" w:rsidRPr="00B06F4F" w:rsidRDefault="002C1B58">
      <w:pPr>
        <w:pStyle w:val="SFPd"/>
        <w:rPr>
          <w:color w:val="000000"/>
          <w:lang w:val="pt-BR"/>
        </w:rPr>
      </w:pPr>
      <w:r>
        <w:rPr>
          <w:color w:val="000000"/>
          <w:lang w:val="pt-BR"/>
        </w:rPr>
        <w:t xml:space="preserve">139. Esta legitimidad se ve reforzada por la Constitución, que otorga a la Unión la competencia para mantener relaciones con Estados extranjeros y participar en organizaciones internacionales (art. 21, I) y a Justicia Federal la competencia para procesar y juzgar casos basados ​​en un tratado o contrato entre la Unión y un Estado extranjero u organización internacional (art. 109, III), consolidando la competencia federal sobre las controversias que impliquen la aplicación de la Convención. </w:t>
      </w:r>
    </w:p>
    <w:p w14:paraId="3562436B" w14:textId="77777777" w:rsidR="002C1B58" w:rsidRPr="00B06F4F" w:rsidRDefault="002C1B58">
      <w:pPr>
        <w:pStyle w:val="SFPd"/>
        <w:rPr>
          <w:color w:val="000000"/>
          <w:lang w:val="pt-BR"/>
        </w:rPr>
      </w:pPr>
      <w:r w:rsidRPr="00B06F4F">
        <w:rPr>
          <w:color w:val="000000"/>
          <w:lang w:val="pt-BR"/>
        </w:rPr>
        <w:t xml:space="preserve">        </w:t>
      </w:r>
    </w:p>
    <w:p w14:paraId="15C13D4F" w14:textId="77777777" w:rsidR="002C1B58" w:rsidRPr="00B06F4F" w:rsidRDefault="002C1B58">
      <w:pPr>
        <w:pStyle w:val="SFPd"/>
        <w:rPr>
          <w:color w:val="000000"/>
          <w:lang w:val="pt-BR"/>
        </w:rPr>
      </w:pPr>
      <w:r>
        <w:rPr>
          <w:color w:val="000000"/>
          <w:lang w:val="pt-BR"/>
        </w:rPr>
        <w:t xml:space="preserve">140. La manifestación de la AGU también se desprende del art. 1 de la Ley Complementaria nº 73/1993, que define a la AGU como la institución encargada de la representación judicial y extrajudicial de la Unión. El propio Código de Procedimiento Civil, al regular la asistencia directa en materia de cooperación internacional, determina que “una vez recibida la solicitud de asistencia directa pasiva, la autoridad central la remitirá a Abogacía General de la Unión, quien solicitará judicialmente la medida solicitada” (art. 33). Así, el papel de la AGU en los procesos de sustracción internacional de menores surge no sólo de su papel institucional de representación de la Unión, sino también de la competencia del Justicia Federal para juzgar conflictos internacionales. Finalmente, la Resolución N° 449/2022 de la CNJ regula la actuación del Sindicato en estos procesos y confirma la legitimidad de la AGU como autor o colaborador [84]. </w:t>
      </w:r>
    </w:p>
    <w:p w14:paraId="3159C695" w14:textId="77777777" w:rsidR="002C1B58" w:rsidRPr="00B06F4F" w:rsidRDefault="002C1B58">
      <w:pPr>
        <w:pStyle w:val="SFPd"/>
        <w:rPr>
          <w:color w:val="000000"/>
          <w:lang w:val="pt-BR"/>
        </w:rPr>
      </w:pPr>
      <w:r w:rsidRPr="00B06F4F">
        <w:rPr>
          <w:color w:val="000000"/>
          <w:lang w:val="pt-BR"/>
        </w:rPr>
        <w:t xml:space="preserve">        </w:t>
      </w:r>
    </w:p>
    <w:p w14:paraId="5C241586" w14:textId="77777777" w:rsidR="002C1B58" w:rsidRPr="00B06F4F" w:rsidRDefault="002C1B58">
      <w:pPr>
        <w:pStyle w:val="SFPd"/>
        <w:rPr>
          <w:color w:val="000000"/>
          <w:lang w:val="pt-BR"/>
        </w:rPr>
      </w:pPr>
      <w:r>
        <w:rPr>
          <w:color w:val="000000"/>
          <w:lang w:val="pt-BR"/>
        </w:rPr>
        <w:t xml:space="preserve">141. En este contexto, en el que las actuaciones de la Unión y la representación de Abogacía General de la Unión tienen una amplia base constitucional, convencional y jurídica, procede la solicitud de declaración parcial de inconstitucionalidad, sin reducir el texto, de los arts. 7, párrafo "f", y 21 del Convenio de La Haya. </w:t>
      </w:r>
    </w:p>
    <w:p w14:paraId="6F5A95E3" w14:textId="77777777" w:rsidR="002C1B58" w:rsidRPr="00B06F4F" w:rsidRDefault="002C1B58">
      <w:pPr>
        <w:pStyle w:val="SFPd"/>
        <w:rPr>
          <w:color w:val="000000"/>
          <w:lang w:val="pt-BR"/>
        </w:rPr>
      </w:pPr>
      <w:r w:rsidRPr="00B06F4F">
        <w:rPr>
          <w:color w:val="000000"/>
          <w:lang w:val="pt-BR"/>
        </w:rPr>
        <w:t xml:space="preserve">        </w:t>
      </w:r>
    </w:p>
    <w:p w14:paraId="01350800" w14:textId="77777777" w:rsidR="002C1B58" w:rsidRPr="00B06F4F" w:rsidRDefault="002C1B58">
      <w:pPr>
        <w:pStyle w:val="SFPd"/>
        <w:rPr>
          <w:color w:val="000000"/>
          <w:lang w:val="pt-BR"/>
        </w:rPr>
      </w:pPr>
      <w:r>
        <w:rPr>
          <w:b/>
          <w:bCs/>
          <w:color w:val="000000"/>
          <w:lang w:val="pt-BR"/>
        </w:rPr>
        <w:t>d) No es necesaria la ratificación de decisiones extranjeras por parte del STJ: artículos 3 y 15 de la Convención</w:t>
      </w:r>
    </w:p>
    <w:p w14:paraId="6A809614" w14:textId="77777777" w:rsidR="002C1B58" w:rsidRPr="00B06F4F" w:rsidRDefault="002C1B58">
      <w:pPr>
        <w:pStyle w:val="SFPd"/>
        <w:rPr>
          <w:color w:val="000000"/>
          <w:lang w:val="pt-BR"/>
        </w:rPr>
      </w:pPr>
      <w:r w:rsidRPr="00B06F4F">
        <w:rPr>
          <w:smallCaps/>
          <w:color w:val="000000"/>
          <w:lang w:val="pt-BR"/>
        </w:rPr>
        <w:t xml:space="preserve">        </w:t>
      </w:r>
    </w:p>
    <w:p w14:paraId="620A724E" w14:textId="77777777" w:rsidR="002C1B58" w:rsidRPr="00B06F4F" w:rsidRDefault="002C1B58">
      <w:pPr>
        <w:pStyle w:val="SFPd"/>
        <w:rPr>
          <w:color w:val="000000"/>
          <w:lang w:val="pt-BR"/>
        </w:rPr>
      </w:pPr>
      <w:r>
        <w:rPr>
          <w:color w:val="000000"/>
          <w:lang w:val="pt-BR"/>
        </w:rPr>
        <w:t xml:space="preserve">142. El demandante también solicita que se dé a los artículos una interpretación conforme a la Constitución. 3 y 15 de la Convención[85], por lo que la producción de efectos de sentencias judiciales extranjeras –sean definitivas o no– está sujeta a la aprobación previa del Superior Tribunal de </w:t>
      </w:r>
      <w:r>
        <w:rPr>
          <w:color w:val="000000"/>
          <w:lang w:val="pt-BR"/>
        </w:rPr>
        <w:lastRenderedPageBreak/>
        <w:t>Justicia (STJ) o al otorgamiento del exequátur competente, conforme a lo previsto en el art. 105, inciso I, inciso “i”, de la Constitución.</w:t>
      </w:r>
    </w:p>
    <w:p w14:paraId="45CFF500" w14:textId="77777777" w:rsidR="002C1B58" w:rsidRPr="00B06F4F" w:rsidRDefault="002C1B58">
      <w:pPr>
        <w:pStyle w:val="SFPd"/>
        <w:rPr>
          <w:color w:val="000000"/>
          <w:lang w:val="pt-BR"/>
        </w:rPr>
      </w:pPr>
      <w:r w:rsidRPr="00B06F4F">
        <w:rPr>
          <w:color w:val="000000"/>
          <w:lang w:val="pt-BR"/>
        </w:rPr>
        <w:t xml:space="preserve">        </w:t>
      </w:r>
    </w:p>
    <w:p w14:paraId="55F6D299" w14:textId="77777777" w:rsidR="002C1B58" w:rsidRPr="00B06F4F" w:rsidRDefault="002C1B58">
      <w:pPr>
        <w:pStyle w:val="SFPd"/>
        <w:rPr>
          <w:color w:val="000000"/>
          <w:lang w:val="pt-BR"/>
        </w:rPr>
      </w:pPr>
      <w:r>
        <w:rPr>
          <w:color w:val="000000"/>
          <w:lang w:val="pt-BR"/>
        </w:rPr>
        <w:t>143. La solicitud no es aceptada, toda vez que los procedimientos establecidos por el Convenio de La Haya de 1980 se enmarcan en la modalidad de cooperación jurídica internacional mediante asistencia directa, caracterizada por la comunicación directa entre las autoridades centrales de los Estados firmantes, mecanismo que no requiere la intervención del Poder Judicial para la ratificación de decisiones extranjeras. A diferencia de la carta rogatoria, que requiere ejecución por parte del STJ, la ayuda directa permite a las autoridades centrales procesar solicitudes de cooperación internacional de manera ágil y poco burocrática, asegurando una mayor efectividad en la restitución internacional de niños y la protección de los derechos de visita. De hecho, el tema recibió una regulación expresa en el Código de Procedimiento Civil de 2015 (arts. 28 a 34), consolidando la asistencia directa como un instrumento legítimo para la tramitación de actos de cooperación jurídica internacional sin necesidad de presentación previa ante el STJ[86].</w:t>
      </w:r>
    </w:p>
    <w:p w14:paraId="78FA0A00" w14:textId="77777777" w:rsidR="002C1B58" w:rsidRPr="00B06F4F" w:rsidRDefault="002C1B58">
      <w:pPr>
        <w:pStyle w:val="SFPd"/>
        <w:rPr>
          <w:color w:val="000000"/>
          <w:lang w:val="pt-BR"/>
        </w:rPr>
      </w:pPr>
      <w:r w:rsidRPr="00B06F4F">
        <w:rPr>
          <w:color w:val="000000"/>
          <w:lang w:val="pt-BR"/>
        </w:rPr>
        <w:t xml:space="preserve">        </w:t>
      </w:r>
    </w:p>
    <w:p w14:paraId="2B5E9AB6" w14:textId="77777777" w:rsidR="002C1B58" w:rsidRPr="00B06F4F" w:rsidRDefault="002C1B58">
      <w:pPr>
        <w:pStyle w:val="SFPd"/>
        <w:rPr>
          <w:color w:val="000000"/>
          <w:lang w:val="pt-BR"/>
        </w:rPr>
      </w:pPr>
      <w:r>
        <w:rPr>
          <w:color w:val="000000"/>
          <w:lang w:val="pt-BR"/>
        </w:rPr>
        <w:t>144. La interpretación de las disposiciones del Convenio pretendida por el demandante representaría un revés procesal y burocrático, basado en una premisa excesivamente restrictiva respecto de los instrumentos de cooperación internacional, que no se ajusta al actual ordenamiento jurídico brasileño. En el caso de ayudas directas, no se requiere aprobación previa ni otorgamiento de exequátur por parte del STJ. Por todo lo anterior, no procede la solicitud de interpretación conforme a la Constitución de los artículos 3 y 15 de la Convención.</w:t>
      </w:r>
    </w:p>
    <w:p w14:paraId="67620391" w14:textId="77777777" w:rsidR="002C1B58" w:rsidRPr="00B06F4F" w:rsidRDefault="002C1B58">
      <w:pPr>
        <w:pStyle w:val="SFPd"/>
        <w:rPr>
          <w:color w:val="000000"/>
          <w:lang w:val="pt-BR"/>
        </w:rPr>
      </w:pPr>
      <w:r w:rsidRPr="00B06F4F">
        <w:rPr>
          <w:color w:val="000000"/>
          <w:lang w:val="pt-BR"/>
        </w:rPr>
        <w:t xml:space="preserve">        </w:t>
      </w:r>
    </w:p>
    <w:p w14:paraId="362FCE82" w14:textId="77777777" w:rsidR="002C1B58" w:rsidRPr="00B06F4F" w:rsidRDefault="002C1B58">
      <w:pPr>
        <w:pStyle w:val="SFPd"/>
        <w:rPr>
          <w:color w:val="000000"/>
          <w:lang w:val="pt-BR"/>
        </w:rPr>
      </w:pPr>
      <w:r>
        <w:rPr>
          <w:b/>
          <w:bCs/>
          <w:color w:val="000000"/>
          <w:lang w:val="pt-BR"/>
        </w:rPr>
        <w:t>e) Análisis del fondo del derecho a la custodia: solicitud artículos 16 y 17 de la Convención</w:t>
      </w:r>
    </w:p>
    <w:p w14:paraId="63121C3A" w14:textId="77777777" w:rsidR="002C1B58" w:rsidRPr="00B06F4F" w:rsidRDefault="002C1B58">
      <w:pPr>
        <w:pStyle w:val="SFPd"/>
        <w:rPr>
          <w:color w:val="000000"/>
          <w:lang w:val="pt-BR"/>
        </w:rPr>
      </w:pPr>
      <w:r w:rsidRPr="00B06F4F">
        <w:rPr>
          <w:color w:val="000000"/>
          <w:lang w:val="pt-BR"/>
        </w:rPr>
        <w:t xml:space="preserve">        </w:t>
      </w:r>
    </w:p>
    <w:p w14:paraId="48D1D674" w14:textId="77777777" w:rsidR="002C1B58" w:rsidRPr="00B06F4F" w:rsidRDefault="002C1B58">
      <w:pPr>
        <w:pStyle w:val="SFPd"/>
        <w:rPr>
          <w:color w:val="000000"/>
          <w:lang w:val="pt-BR"/>
        </w:rPr>
      </w:pPr>
      <w:r>
        <w:rPr>
          <w:color w:val="000000"/>
          <w:lang w:val="pt-BR"/>
        </w:rPr>
        <w:t xml:space="preserve">145. Como se ve, el Convenio de La Haya no regula el fondo del derecho de custodia, restringiéndose a la restitución internacional del niño. En este sentido, el art. 16 impide al tribunal del Estado demandado decidir sobre la custodia antes de resolver la solicitud de restitución, respetando la competencia del Estado de residencia habitual[87]. El arte. 17 prohíbe que las decisiones de custodia adoptadas en el Estado demandado se utilicen como justificación para denegar el retorno, aunque puedan tenerse en cuenta sus motivos, para evitar decisiones contradictorias[88]. </w:t>
      </w:r>
    </w:p>
    <w:p w14:paraId="351D03DF" w14:textId="77777777" w:rsidR="002C1B58" w:rsidRPr="00B06F4F" w:rsidRDefault="002C1B58">
      <w:pPr>
        <w:pStyle w:val="SFPd"/>
        <w:rPr>
          <w:color w:val="000000"/>
          <w:lang w:val="pt-BR"/>
        </w:rPr>
      </w:pPr>
      <w:r w:rsidRPr="00B06F4F">
        <w:rPr>
          <w:color w:val="000000"/>
          <w:lang w:val="pt-BR"/>
        </w:rPr>
        <w:t xml:space="preserve">        </w:t>
      </w:r>
    </w:p>
    <w:p w14:paraId="352A52C9" w14:textId="77777777" w:rsidR="002C1B58" w:rsidRPr="00B06F4F" w:rsidRDefault="002C1B58">
      <w:pPr>
        <w:pStyle w:val="SFPd"/>
        <w:rPr>
          <w:color w:val="000000"/>
          <w:lang w:val="pt-BR"/>
        </w:rPr>
      </w:pPr>
      <w:r>
        <w:rPr>
          <w:color w:val="000000"/>
          <w:lang w:val="pt-BR"/>
        </w:rPr>
        <w:t xml:space="preserve">146. El demandante sostiene que el artículo 16 del Convenio de La Haya debe ser interpretado de conformidad con la Constitución, a fin de permitir el análisis del fondo del derecho de custodia por parte del juez brasileño cuando sea necesario para implementar el principio del interés superior del niño </w:t>
      </w:r>
      <w:r>
        <w:rPr>
          <w:color w:val="000000"/>
          <w:lang w:val="pt-BR"/>
        </w:rPr>
        <w:lastRenderedPageBreak/>
        <w:t>(arts. 1, III, y 227, CF/1988), bajo pena de violación del derecho de acceso a la justicia (art. 5, inciso XXXV, CF/1988). En relación con el artículo 17 de la Convención, postula la declaración de inconstitucionalidad parcial sin reducir el texto, por considerar que el dispositivo compromete la autoridad de las decisiones judiciales nacionales al vaciar sus efectos sobre la solicitud de devolución, violando los principios de separación de Poderes (art. 2, CF/1988), y cosa juzgada (art. 5, XXXVI, CF/1988).</w:t>
      </w:r>
    </w:p>
    <w:p w14:paraId="33B6BB84" w14:textId="77777777" w:rsidR="002C1B58" w:rsidRPr="00B06F4F" w:rsidRDefault="002C1B58">
      <w:pPr>
        <w:pStyle w:val="SFPd"/>
        <w:rPr>
          <w:color w:val="000000"/>
          <w:lang w:val="pt-BR"/>
        </w:rPr>
      </w:pPr>
      <w:r w:rsidRPr="00B06F4F">
        <w:rPr>
          <w:color w:val="000000"/>
          <w:lang w:val="pt-BR"/>
        </w:rPr>
        <w:t xml:space="preserve">        </w:t>
      </w:r>
    </w:p>
    <w:p w14:paraId="04449046" w14:textId="77777777" w:rsidR="002C1B58" w:rsidRPr="00B06F4F" w:rsidRDefault="002C1B58">
      <w:pPr>
        <w:pStyle w:val="SFPd"/>
        <w:rPr>
          <w:color w:val="000000"/>
          <w:lang w:val="pt-BR"/>
        </w:rPr>
      </w:pPr>
      <w:r>
        <w:rPr>
          <w:color w:val="000000"/>
          <w:lang w:val="pt-BR"/>
        </w:rPr>
        <w:t xml:space="preserve">147. Sin embargo, el Convenio de La Haya de 1980 no aborda los méritos de los derechos de custodia ni regula las relaciones familiares a nivel material. Es un instrumento jurídico destinado exclusivamente a proteger la restitución internacional de niños en casos de traslado o retención ilícita. En este sentido, los arts. 16 y 17 tienen como objetivo proteger la jurisdicción del Estado de residencia habitual del niño para decidir sobre cuestiones sustantivas de custodia, de conformidad con los artículos 1, 2 y 3 de la Convención [89]. La Resolución CNJ nº 449/2022 refuerza esta directriz al establecer que la decisión de restitución tomada por Justicia Federal debe prevalecer incluso si existe una decisión previa del Justicia Estadual brasileño en materia de custodia (arts. 21 y 22)[90]. </w:t>
      </w:r>
    </w:p>
    <w:p w14:paraId="555F6E52" w14:textId="77777777" w:rsidR="002C1B58" w:rsidRPr="00B06F4F" w:rsidRDefault="002C1B58">
      <w:pPr>
        <w:pStyle w:val="SFPd"/>
        <w:rPr>
          <w:color w:val="000000"/>
          <w:lang w:val="pt-BR"/>
        </w:rPr>
      </w:pPr>
      <w:r w:rsidRPr="00B06F4F">
        <w:rPr>
          <w:color w:val="000000"/>
          <w:lang w:val="pt-BR"/>
        </w:rPr>
        <w:t xml:space="preserve">        </w:t>
      </w:r>
    </w:p>
    <w:p w14:paraId="49183607" w14:textId="77777777" w:rsidR="002C1B58" w:rsidRPr="00B06F4F" w:rsidRDefault="002C1B58">
      <w:pPr>
        <w:pStyle w:val="SFPd"/>
        <w:rPr>
          <w:color w:val="000000"/>
          <w:lang w:val="pt-BR"/>
        </w:rPr>
      </w:pPr>
      <w:r>
        <w:rPr>
          <w:color w:val="000000"/>
          <w:lang w:val="pt-BR"/>
        </w:rPr>
        <w:t>148. Por lo tanto, cualquier reexamen del derecho de custodia por parte del Poder Judicial brasileño fuera del alcance de la Convención distorsiona sus objetivos, puede constituir incumplimiento del tratado y compromete la previsibilidad y seguridad jurídica de la cooperación internacional. No hay violación de los principios constitucionales mencionados por el demandante, ya que la adhesión a tratados internacionales puede implicar restricciones a la jurisdicción brasileña, en nombre de la cooperación jurídica internacional (art. 4, IX, CF) y de la protección de valores esenciales para la implementación de la Convención. Por tanto, las solicitudes de interpretación conforme al artículo 16 y de declaración parcial de inconstitucionalidad del mismo son infundadas. 17 de la Convención.</w:t>
      </w:r>
    </w:p>
    <w:p w14:paraId="40DD7625" w14:textId="77777777" w:rsidR="002C1B58" w:rsidRPr="00B06F4F" w:rsidRDefault="002C1B58">
      <w:pPr>
        <w:pStyle w:val="SFPd"/>
        <w:rPr>
          <w:color w:val="000000"/>
          <w:lang w:val="pt-BR"/>
        </w:rPr>
      </w:pPr>
      <w:r w:rsidRPr="00B06F4F">
        <w:rPr>
          <w:color w:val="000000"/>
          <w:lang w:val="pt-BR"/>
        </w:rPr>
        <w:t xml:space="preserve">        </w:t>
      </w:r>
    </w:p>
    <w:p w14:paraId="0B0A4DD9" w14:textId="77777777" w:rsidR="002C1B58" w:rsidRPr="00B06F4F" w:rsidRDefault="002C1B58">
      <w:pPr>
        <w:pStyle w:val="SFPd"/>
        <w:rPr>
          <w:color w:val="000000"/>
          <w:lang w:val="pt-BR"/>
        </w:rPr>
      </w:pPr>
      <w:r>
        <w:rPr>
          <w:color w:val="000000"/>
          <w:lang w:val="pt-BR"/>
        </w:rPr>
        <w:t>149. En conclusión, reconozco la compatibilidad del Convenio de La Haya de 1980 con la Constitución Federal, desestimando los alegatos de inconstitucionalidad de los artículos 1, 3, 7, caput y los párrafos “f”, 11, 12, 13, “b”, 15, 16, 17, 18 y 21 del Convenio, ratificado por el Decreto Legislativo nº 79/1999 y promulgado por Decreto Presidencial nº 3.413/2000.</w:t>
      </w:r>
    </w:p>
    <w:p w14:paraId="25594098" w14:textId="77777777" w:rsidR="002C1B58" w:rsidRPr="00B06F4F" w:rsidRDefault="002C1B58">
      <w:pPr>
        <w:pStyle w:val="SFPd"/>
        <w:rPr>
          <w:color w:val="000000"/>
          <w:lang w:val="pt-BR"/>
        </w:rPr>
      </w:pPr>
    </w:p>
    <w:p w14:paraId="6C0FDAFC" w14:textId="77777777" w:rsidR="002C1B58" w:rsidRPr="00B06F4F" w:rsidRDefault="002C1B58">
      <w:pPr>
        <w:pStyle w:val="SFPd"/>
        <w:rPr>
          <w:color w:val="000000"/>
          <w:lang w:val="pt-BR"/>
        </w:rPr>
      </w:pPr>
    </w:p>
    <w:p w14:paraId="3750F899" w14:textId="77777777" w:rsidR="002C1B58" w:rsidRPr="00B06F4F" w:rsidRDefault="002C1B58">
      <w:pPr>
        <w:pStyle w:val="SFPdCnrlzd"/>
        <w:rPr>
          <w:color w:val="000000"/>
          <w:lang w:val="pt-BR"/>
        </w:rPr>
      </w:pPr>
      <w:r>
        <w:rPr>
          <w:smallCaps/>
          <w:color w:val="000000"/>
          <w:lang w:val="pt-BR"/>
        </w:rPr>
        <w:t>Parte IV</w:t>
      </w:r>
    </w:p>
    <w:p w14:paraId="385DD395" w14:textId="77777777" w:rsidR="002C1B58" w:rsidRPr="00B06F4F" w:rsidRDefault="002C1B58">
      <w:pPr>
        <w:pStyle w:val="SFPdCnrlzd"/>
        <w:rPr>
          <w:color w:val="000000"/>
          <w:lang w:val="pt-BR"/>
        </w:rPr>
      </w:pPr>
    </w:p>
    <w:p w14:paraId="028AD858" w14:textId="77777777" w:rsidR="002C1B58" w:rsidRPr="00B06F4F" w:rsidRDefault="002C1B58">
      <w:pPr>
        <w:pStyle w:val="SFPd"/>
        <w:rPr>
          <w:color w:val="000000"/>
          <w:lang w:val="pt-BR"/>
        </w:rPr>
      </w:pPr>
      <w:r>
        <w:rPr>
          <w:smallCaps/>
          <w:color w:val="000000"/>
          <w:lang w:val="pt-BR"/>
        </w:rPr>
        <w:t>Determinaciones adicionales de la deliberación del Pleno</w:t>
      </w:r>
    </w:p>
    <w:p w14:paraId="239A59F3" w14:textId="77777777" w:rsidR="002C1B58" w:rsidRPr="00B06F4F" w:rsidRDefault="002C1B58">
      <w:pPr>
        <w:pStyle w:val="SFPd"/>
        <w:rPr>
          <w:color w:val="000000"/>
          <w:lang w:val="pt-BR"/>
        </w:rPr>
      </w:pPr>
    </w:p>
    <w:p w14:paraId="737978AC" w14:textId="77777777" w:rsidR="002C1B58" w:rsidRPr="00B06F4F" w:rsidRDefault="002C1B58">
      <w:pPr>
        <w:pStyle w:val="SFPd"/>
        <w:rPr>
          <w:color w:val="000000"/>
          <w:lang w:val="pt-BR"/>
        </w:rPr>
      </w:pPr>
      <w:r>
        <w:rPr>
          <w:color w:val="000000"/>
          <w:lang w:val="pt-BR"/>
        </w:rPr>
        <w:lastRenderedPageBreak/>
        <w:t>150. La discusión del tema, en el ámbito del Pleno de esta Corte Suprema, permitió enriquecer las determinaciones dictadas en estas actuaciones, con la incorporación de valiosos aportes de eminentes Ministros. Este registro se realiza no sólo como reconocimiento a las consideraciones presentadas, sino también como una reafirmación del compromiso de esta Corte con la construcción de soluciones colegiadas, resultado del diálogo respetuoso y la deliberación conjunta.</w:t>
      </w:r>
    </w:p>
    <w:p w14:paraId="16175493" w14:textId="77777777" w:rsidR="002C1B58" w:rsidRPr="00B06F4F" w:rsidRDefault="002C1B58">
      <w:pPr>
        <w:pStyle w:val="SFPd"/>
        <w:rPr>
          <w:color w:val="000000"/>
          <w:lang w:val="pt-BR"/>
        </w:rPr>
      </w:pPr>
    </w:p>
    <w:p w14:paraId="18144912" w14:textId="77777777" w:rsidR="002C1B58" w:rsidRPr="00B06F4F" w:rsidRDefault="002C1B58">
      <w:pPr>
        <w:pStyle w:val="SFPd"/>
        <w:rPr>
          <w:color w:val="000000"/>
          <w:lang w:val="pt-BR"/>
        </w:rPr>
      </w:pPr>
      <w:r>
        <w:rPr>
          <w:color w:val="000000"/>
          <w:lang w:val="pt-BR"/>
        </w:rPr>
        <w:t>151. El Ministro Dias Toffoli, acompañado por los Ministros Flávio Dino y Alexandre de Moraes, destacó la necesidad de que todas las solicitudes de restitución formuladas a la luz del Convenio de La Haya de 1980 examinen las peculiaridades del caso específico, teniendo siempre como guía el interés superior del niño. Aceptando esta orientación, se determinó que la futura resolución del Consejo Nacional de Justicia, encaminada a revisar la Resolución N° 449/2022, enfatiza en el proceso principio de contradicción obligatorio y la defensa amplia en todos los casos de restitución.</w:t>
      </w:r>
    </w:p>
    <w:p w14:paraId="5D43FDD2" w14:textId="77777777" w:rsidR="002C1B58" w:rsidRPr="00B06F4F" w:rsidRDefault="002C1B58">
      <w:pPr>
        <w:pStyle w:val="SFPd"/>
        <w:rPr>
          <w:color w:val="000000"/>
          <w:lang w:val="pt-BR"/>
        </w:rPr>
      </w:pPr>
    </w:p>
    <w:p w14:paraId="146D49AB" w14:textId="77777777" w:rsidR="002C1B58" w:rsidRPr="00B06F4F" w:rsidRDefault="002C1B58">
      <w:pPr>
        <w:pStyle w:val="SFPd"/>
        <w:rPr>
          <w:color w:val="000000"/>
          <w:lang w:val="pt-BR"/>
        </w:rPr>
      </w:pPr>
      <w:r>
        <w:rPr>
          <w:color w:val="000000"/>
          <w:lang w:val="pt-BR"/>
        </w:rPr>
        <w:t>152. El Ministro Nunes Marques consideró que la excepción prevista en el art. 13 (1) (b) de la Convención debe cubrir no sólo la violencia cometida contra la madre, sino todas las formas de violencia doméstica en el entorno en el que reside el niño. Añadió además que la parte demandada tiene el deber de informar la existencia de cualquier acción de tutela legal en curso en Brasil, medida que será incluida en futuras regulaciones sobre la materia.</w:t>
      </w:r>
    </w:p>
    <w:p w14:paraId="3FAFD992" w14:textId="77777777" w:rsidR="002C1B58" w:rsidRPr="00B06F4F" w:rsidRDefault="002C1B58">
      <w:pPr>
        <w:pStyle w:val="SFPd"/>
        <w:rPr>
          <w:color w:val="000000"/>
          <w:lang w:val="pt-BR"/>
        </w:rPr>
      </w:pPr>
    </w:p>
    <w:p w14:paraId="583A9592" w14:textId="77777777" w:rsidR="002C1B58" w:rsidRPr="00B06F4F" w:rsidRDefault="002C1B58">
      <w:pPr>
        <w:pStyle w:val="SFPd"/>
        <w:rPr>
          <w:color w:val="000000"/>
          <w:lang w:val="pt-BR"/>
        </w:rPr>
      </w:pPr>
      <w:r>
        <w:rPr>
          <w:color w:val="000000"/>
          <w:lang w:val="pt-BR"/>
        </w:rPr>
        <w:t>153. La Ministra Cármen Lúcia destacó la conveniencia de asignar a Consejo Nacional de Justicia la gestión de la tramitación de estas actuaciones en todo el territorio nacional, a fin de garantizar una mayor racionalidad y uniformidad en la aplicación de la Convención. La Corte otorgó esta atribución al Foro Nacional de la Infancia y la Juventud (Foninj), en el ámbito del CNJ.</w:t>
      </w:r>
    </w:p>
    <w:p w14:paraId="5A88F294" w14:textId="77777777" w:rsidR="002C1B58" w:rsidRPr="00B06F4F" w:rsidRDefault="002C1B58">
      <w:pPr>
        <w:pStyle w:val="SFPd"/>
        <w:rPr>
          <w:color w:val="000000"/>
          <w:lang w:val="pt-BR"/>
        </w:rPr>
      </w:pPr>
    </w:p>
    <w:p w14:paraId="52CF1139" w14:textId="77777777" w:rsidR="002C1B58" w:rsidRPr="00B06F4F" w:rsidRDefault="002C1B58">
      <w:pPr>
        <w:pStyle w:val="SFPd"/>
        <w:rPr>
          <w:color w:val="000000"/>
          <w:lang w:val="pt-BR"/>
        </w:rPr>
      </w:pPr>
      <w:r>
        <w:rPr>
          <w:color w:val="000000"/>
          <w:lang w:val="pt-BR"/>
        </w:rPr>
        <w:t>154. El Ministro Cristiano Zanin destacó la necesidad de que el Poder Ejecutivo y el Poder Legislativo evalúen la conveniencia de promulgar legislación específica para regular el Convenio de La Haya de 1980, especialmente en lo que respecta a los aspectos procesales y probatorios de su aplicación. También destacó que, una vez eliminadas las condiciones para la restitución del menor, se establece la competencia de la Justicia brasileña, en la jurisdicción del domicilio del progenitor sustractor, para evaluar las cuestiones de fondo, incluida la custodia.</w:t>
      </w:r>
    </w:p>
    <w:p w14:paraId="6CD4A267" w14:textId="77777777" w:rsidR="002C1B58" w:rsidRPr="00B06F4F" w:rsidRDefault="002C1B58">
      <w:pPr>
        <w:pStyle w:val="SFPd"/>
        <w:rPr>
          <w:color w:val="000000"/>
          <w:lang w:val="pt-BR"/>
        </w:rPr>
      </w:pPr>
    </w:p>
    <w:p w14:paraId="34673C6F" w14:textId="77777777" w:rsidR="002C1B58" w:rsidRPr="00B06F4F" w:rsidRDefault="002C1B58">
      <w:pPr>
        <w:pStyle w:val="SFPd"/>
        <w:rPr>
          <w:color w:val="000000"/>
          <w:lang w:val="pt-BR"/>
        </w:rPr>
      </w:pPr>
      <w:r>
        <w:rPr>
          <w:color w:val="000000"/>
          <w:lang w:val="pt-BR"/>
        </w:rPr>
        <w:t xml:space="preserve">155. Los ministros Luiz Fux y Flávio Dino consideraron que, además de las pruebas formalmente producidas, los hechos públicos y notorios y las reglas de la experiencia pueden ser considerados, como elementos de la convicción del juez, en la forma de los arts. 374 y 375 del Código de </w:t>
      </w:r>
      <w:r>
        <w:rPr>
          <w:color w:val="000000"/>
          <w:lang w:val="pt-BR"/>
        </w:rPr>
        <w:lastRenderedPageBreak/>
        <w:t>Procedimiento Civil.</w:t>
      </w:r>
    </w:p>
    <w:p w14:paraId="77864144" w14:textId="77777777" w:rsidR="002C1B58" w:rsidRPr="00B06F4F" w:rsidRDefault="002C1B58">
      <w:pPr>
        <w:pStyle w:val="SFPd"/>
        <w:rPr>
          <w:color w:val="000000"/>
          <w:lang w:val="pt-BR"/>
        </w:rPr>
      </w:pPr>
    </w:p>
    <w:p w14:paraId="7482D0D3" w14:textId="77777777" w:rsidR="002C1B58" w:rsidRPr="00B06F4F" w:rsidRDefault="002C1B58">
      <w:pPr>
        <w:pStyle w:val="SFPd"/>
        <w:rPr>
          <w:color w:val="000000"/>
          <w:lang w:val="pt-BR"/>
        </w:rPr>
      </w:pPr>
      <w:r>
        <w:rPr>
          <w:color w:val="000000"/>
          <w:lang w:val="pt-BR"/>
        </w:rPr>
        <w:t>156. Los Ministros André Mendonça, Dias Toffoli, Alexandre de Moraes y Edson Fachin destacaron la importancia de establecer protocolos de atención a las mujeres y niños víctimas de violencia doméstica en el extranjero. Incorporando la sugerencia, la decisión determina ahora que el Poder Ejecutivo, a través de Ministerio de Relaciones Exteriores, prepare, en el plazo de seis meses, un protocolo de atención para ser adoptado por todas las unidades consulares brasileñas, tomando como referencia la experiencia piloto desarrollada por el Consulado General en Roma.</w:t>
      </w:r>
    </w:p>
    <w:p w14:paraId="59922A0F" w14:textId="77777777" w:rsidR="002C1B58" w:rsidRPr="00B06F4F" w:rsidRDefault="002C1B58">
      <w:pPr>
        <w:pStyle w:val="SFPd"/>
        <w:rPr>
          <w:color w:val="000000"/>
          <w:lang w:val="pt-BR"/>
        </w:rPr>
      </w:pPr>
    </w:p>
    <w:p w14:paraId="57646195" w14:textId="77777777" w:rsidR="002C1B58" w:rsidRPr="00B06F4F" w:rsidRDefault="002C1B58">
      <w:pPr>
        <w:pStyle w:val="SFPd"/>
        <w:rPr>
          <w:color w:val="000000"/>
          <w:lang w:val="pt-BR"/>
        </w:rPr>
      </w:pPr>
      <w:r>
        <w:rPr>
          <w:color w:val="000000"/>
          <w:lang w:val="pt-BR"/>
        </w:rPr>
        <w:t>157. Finalmente, la Ministra Cármen Lúcia y el Ministro Cristiano Zanin expresaron su preocupación por la coordinación entre Justicia Federal, competente para evaluar las solicitudes de devolución, y Justicia Estadual, ante el cual se tramitan las acciones de custodia. Aceptando la sugerencia, se determinó que los Tribunales Regionales Federales y los Tribunales de Justicia celebren acuerdos de cooperación judicial, con miras a establecer protocolos de acción coordinada, el intercambio de información sobre las acciones en curso, el uso conjunto de estructuras técnicas, incluso de peritaje psicosocial, y la promoción de la mediación, cuando corresponda.</w:t>
      </w:r>
    </w:p>
    <w:p w14:paraId="41006CB1" w14:textId="77777777" w:rsidR="002C1B58" w:rsidRPr="00B06F4F" w:rsidRDefault="002C1B58">
      <w:pPr>
        <w:pStyle w:val="SFPd"/>
        <w:rPr>
          <w:color w:val="000000"/>
          <w:lang w:val="pt-BR"/>
        </w:rPr>
      </w:pPr>
    </w:p>
    <w:p w14:paraId="48569ACA" w14:textId="77777777" w:rsidR="002C1B58" w:rsidRPr="00B06F4F" w:rsidRDefault="002C1B58">
      <w:pPr>
        <w:pStyle w:val="SFPd"/>
        <w:rPr>
          <w:color w:val="000000"/>
          <w:lang w:val="pt-BR"/>
        </w:rPr>
      </w:pPr>
      <w:r>
        <w:rPr>
          <w:color w:val="000000"/>
          <w:lang w:val="pt-BR"/>
        </w:rPr>
        <w:t>158. Los valiosos aportes presentados por los eminentes Ministros, como resultado del debate calificado en el Pleno de esta Corte Suprema, ahora forman parte expresa de esta decisión. Por lo tanto, están incluidos en la conclusión de esta votación como parte de la solución construida de manera colegiada.</w:t>
      </w:r>
    </w:p>
    <w:p w14:paraId="3D7D2514" w14:textId="77777777" w:rsidR="002C1B58" w:rsidRPr="00B06F4F" w:rsidRDefault="002C1B58">
      <w:pPr>
        <w:pStyle w:val="SFPd"/>
        <w:rPr>
          <w:color w:val="000000"/>
          <w:lang w:val="pt-BR"/>
        </w:rPr>
      </w:pPr>
      <w:r w:rsidRPr="00B06F4F">
        <w:rPr>
          <w:smallCaps/>
          <w:color w:val="000000"/>
          <w:lang w:val="pt-BR"/>
        </w:rPr>
        <w:t xml:space="preserve">        </w:t>
      </w:r>
    </w:p>
    <w:p w14:paraId="0504471D" w14:textId="77777777" w:rsidR="002C1B58" w:rsidRPr="00B06F4F" w:rsidRDefault="002C1B58">
      <w:pPr>
        <w:pStyle w:val="SFPd"/>
        <w:rPr>
          <w:color w:val="000000"/>
          <w:lang w:val="pt-BR"/>
        </w:rPr>
      </w:pPr>
      <w:r>
        <w:rPr>
          <w:b/>
          <w:bCs/>
          <w:smallCaps/>
          <w:color w:val="000000"/>
          <w:lang w:val="pt-BR"/>
        </w:rPr>
        <w:t>Conclusión</w:t>
      </w:r>
    </w:p>
    <w:p w14:paraId="1028C4A8" w14:textId="77777777" w:rsidR="002C1B58" w:rsidRPr="00B06F4F" w:rsidRDefault="002C1B58">
      <w:pPr>
        <w:pStyle w:val="SFPd"/>
        <w:rPr>
          <w:color w:val="000000"/>
          <w:lang w:val="pt-BR"/>
        </w:rPr>
      </w:pPr>
      <w:r w:rsidRPr="00B06F4F">
        <w:rPr>
          <w:smallCaps/>
          <w:color w:val="000000"/>
          <w:lang w:val="pt-BR"/>
        </w:rPr>
        <w:t xml:space="preserve">        </w:t>
      </w:r>
    </w:p>
    <w:p w14:paraId="070D1F73" w14:textId="77777777" w:rsidR="002C1B58" w:rsidRPr="00B06F4F" w:rsidRDefault="002C1B58">
      <w:pPr>
        <w:pStyle w:val="SFPd"/>
        <w:rPr>
          <w:color w:val="000000"/>
          <w:lang w:val="pt-BR"/>
        </w:rPr>
      </w:pPr>
      <w:r>
        <w:rPr>
          <w:color w:val="000000"/>
          <w:lang w:val="pt-BR"/>
        </w:rPr>
        <w:t>159. En vista de lo anterior, considero parcialmente válidas las solicitudes realizadas en las ADI 4.245 y 7.686, para:</w:t>
      </w:r>
    </w:p>
    <w:p w14:paraId="1D7C3E05" w14:textId="77777777" w:rsidR="002C1B58" w:rsidRPr="00B06F4F" w:rsidRDefault="002C1B58">
      <w:pPr>
        <w:pStyle w:val="SFPd"/>
        <w:rPr>
          <w:color w:val="000000"/>
          <w:lang w:val="pt-BR"/>
        </w:rPr>
      </w:pPr>
    </w:p>
    <w:p w14:paraId="426404FB" w14:textId="77777777" w:rsidR="002C1B58" w:rsidRPr="00B06F4F" w:rsidRDefault="002C1B58">
      <w:pPr>
        <w:pStyle w:val="SFPd"/>
        <w:rPr>
          <w:color w:val="000000"/>
          <w:lang w:val="pt-BR"/>
        </w:rPr>
      </w:pPr>
      <w:r>
        <w:rPr>
          <w:color w:val="000000"/>
          <w:lang w:val="pt-BR"/>
        </w:rPr>
        <w:t>a) Conferir una interpretación conforme a la Constitución al art. 13 (1) (b) del Convenio de La Haya de 1980, para reconocer que la excepción al retorno inmediato del niño por grave riesgo para su integridad física o psíquica, o por la posibilidad de quedar en una situación intolerable, se aplica en los casos de violencia doméstica, aunque el niño no sea víctima directa, siempre que existan indicios objetivos y concretos de la situación de riesgo, de conformidad con el principio del interés superior del niño (art. 227, CF/1988) y la perspectiva de género (arts. 1º, III, y 226, § 8º, CF/1988);</w:t>
      </w:r>
    </w:p>
    <w:p w14:paraId="121FEFBF" w14:textId="77777777" w:rsidR="002C1B58" w:rsidRPr="00B06F4F" w:rsidRDefault="002C1B58">
      <w:pPr>
        <w:pStyle w:val="SFPd"/>
        <w:rPr>
          <w:color w:val="000000"/>
          <w:lang w:val="pt-BR"/>
        </w:rPr>
      </w:pPr>
      <w:r>
        <w:rPr>
          <w:color w:val="000000"/>
          <w:lang w:val="pt-BR"/>
        </w:rPr>
        <w:t xml:space="preserve">b) Ordenar a Consejo Nacional de Justicia que establezca un grupo de trabajo interinstitucional para elaborar, en un plazo de 60 (sesenta) días, una propuesta de resolución encaminada a brindar mayor celeridad y eficiencia </w:t>
      </w:r>
      <w:r>
        <w:rPr>
          <w:color w:val="000000"/>
          <w:lang w:val="pt-BR"/>
        </w:rPr>
        <w:lastRenderedPageBreak/>
        <w:t xml:space="preserve">en la tramitación de los procesos internacionales de restitución de menores, garantizando, mediante procedimiento principio de contradicción y plena defensa, que la decisión final sobre la restitución del menor se adopte en un plazo no mayor a 1 (un) año. </w:t>
      </w:r>
    </w:p>
    <w:p w14:paraId="6E3D2EB4" w14:textId="77777777" w:rsidR="002C1B58" w:rsidRPr="00B06F4F" w:rsidRDefault="002C1B58">
      <w:pPr>
        <w:pStyle w:val="SFPd"/>
        <w:rPr>
          <w:color w:val="000000"/>
          <w:lang w:val="pt-BR"/>
        </w:rPr>
      </w:pPr>
      <w:r>
        <w:rPr>
          <w:color w:val="000000"/>
          <w:lang w:val="pt-BR"/>
        </w:rPr>
        <w:t>c) La resolución, que adaptará la Resolución CNJ N° 449/2022 a los términos de la presente decisión, establecerá el deber del demandado de informar la existencia de cualquier acción judicial por la custodia de los hijos que se desarrolle en el territorio nacional y asignará al Foro Nacional de la Infancia y la Juventud (Foninj) del CNJ la gestión de la tramitación de estas acciones en el país. La exigencia de defensa contradictoria y amplia se aplica tanto en los supuestos del art. 1, como en el art. 12 de la Convención. También servirán como elementos de convicción los hechos públicos y notorios y las normas de experiencia (CPC, arts. 374 y 375);</w:t>
      </w:r>
    </w:p>
    <w:p w14:paraId="3C3591B2" w14:textId="77777777" w:rsidR="002C1B58" w:rsidRPr="00B06F4F" w:rsidRDefault="002C1B58">
      <w:pPr>
        <w:pStyle w:val="SFPd"/>
        <w:rPr>
          <w:color w:val="000000"/>
          <w:lang w:val="pt-BR"/>
        </w:rPr>
      </w:pPr>
      <w:r>
        <w:rPr>
          <w:color w:val="000000"/>
          <w:lang w:val="pt-BR"/>
        </w:rPr>
        <w:t xml:space="preserve">d) Ordenar a los Tribunales Regionales Federales dictar actos normativos para promover la concentración de competencia para procesar y juzgar acciones relacionadas con el Convenio de La Haya de 1980, en materia de procesos de restitución, en uno o más tribunales capitales y tribunales, con base en el art. 96, I, “d”, CF/1988, apuntando a la uniformidad y celeridad procesal; </w:t>
      </w:r>
    </w:p>
    <w:p w14:paraId="6E233F7D" w14:textId="77777777" w:rsidR="002C1B58" w:rsidRPr="00B06F4F" w:rsidRDefault="002C1B58">
      <w:pPr>
        <w:pStyle w:val="SFPd"/>
        <w:rPr>
          <w:color w:val="000000"/>
          <w:lang w:val="pt-BR"/>
        </w:rPr>
      </w:pPr>
      <w:r>
        <w:rPr>
          <w:color w:val="000000"/>
          <w:lang w:val="pt-BR"/>
        </w:rPr>
        <w:t xml:space="preserve">e) Determinar la creación de centros de apoyo especializados, en el ámbito de los Tribunales Regionales Federales, para fomentar la conciliación, la adopción de prácticas y metodologías restaurativas, calificar y coordinar la realización de peritajes psicosociales y actuar como órgano de apoyo técnico y metodológico de los magistrados; </w:t>
      </w:r>
    </w:p>
    <w:p w14:paraId="594798D7" w14:textId="77777777" w:rsidR="002C1B58" w:rsidRPr="00B06F4F" w:rsidRDefault="002C1B58">
      <w:pPr>
        <w:pStyle w:val="SFPd"/>
        <w:rPr>
          <w:color w:val="000000"/>
          <w:lang w:val="pt-BR"/>
        </w:rPr>
      </w:pPr>
      <w:r>
        <w:rPr>
          <w:color w:val="000000"/>
          <w:lang w:val="pt-BR"/>
        </w:rPr>
        <w:t xml:space="preserve">f) Determinar que los órganos del Poder Judicial, con el apoyo del CNJ, adecuen los sistemas de proceso electrónico para permitir la inclusión de sellos de procesamiento preferencial (tags) para todos los procesos que reciban el código de materia “10921 Restitución de Menores, Convenio de La Haya de 1980”, conforme lo establece el art. 27 de la Resolución CNJ N° 449/2022; </w:t>
      </w:r>
    </w:p>
    <w:p w14:paraId="2ABF68D1" w14:textId="77777777" w:rsidR="002C1B58" w:rsidRPr="00B06F4F" w:rsidRDefault="002C1B58">
      <w:pPr>
        <w:pStyle w:val="SFPd"/>
        <w:rPr>
          <w:color w:val="000000"/>
          <w:lang w:val="pt-BR"/>
        </w:rPr>
      </w:pPr>
      <w:r>
        <w:rPr>
          <w:color w:val="000000"/>
          <w:lang w:val="pt-BR"/>
        </w:rPr>
        <w:t xml:space="preserve">g) Ordenar al Poder Ejecutivo adoptar medidas estructurales y administrativas para fortalecer el desempeño de la Autoridad Administrativa Central Federal (ACAF), con la definición de metas, cronograma e indicadores de desempeño; </w:t>
      </w:r>
    </w:p>
    <w:p w14:paraId="0C24E54F" w14:textId="77777777" w:rsidR="002C1B58" w:rsidRPr="00B06F4F" w:rsidRDefault="002C1B58">
      <w:pPr>
        <w:pStyle w:val="SFPd"/>
        <w:rPr>
          <w:color w:val="000000"/>
          <w:lang w:val="pt-BR"/>
        </w:rPr>
      </w:pPr>
      <w:r>
        <w:rPr>
          <w:color w:val="000000"/>
          <w:lang w:val="pt-BR"/>
        </w:rPr>
        <w:t>h) Ordenar al Poder Ejecutivo evaluar la conveniencia de la adhesión de Brasil al Convenio de La Haya de 1996 (sobre competencia, ley aplicable, reconocimiento, ejecución y cooperación en materia de responsabilidad parental y medidas de protección de menores), con la elaboración de un informe técnico que será enviado a los jefes de los tres Poderes;</w:t>
      </w:r>
    </w:p>
    <w:p w14:paraId="7E7DB0D5" w14:textId="77777777" w:rsidR="002C1B58" w:rsidRPr="00B06F4F" w:rsidRDefault="002C1B58">
      <w:pPr>
        <w:pStyle w:val="SFPd"/>
        <w:rPr>
          <w:color w:val="000000"/>
          <w:lang w:val="pt-BR"/>
        </w:rPr>
      </w:pPr>
      <w:r>
        <w:rPr>
          <w:color w:val="000000"/>
          <w:lang w:val="pt-BR"/>
        </w:rPr>
        <w:t xml:space="preserve">i) Ordenar al Poder Ejecutivo, a través de Ministerio de Relaciones Exteriores, que elabore, en un plazo de hasta seis meses, un protocolo de atención a mujeres y niños víctimas de violencia doméstica, a ser adoptado en todas las unidades consulares de Brasil en el exterior, tomando como </w:t>
      </w:r>
      <w:r>
        <w:rPr>
          <w:color w:val="000000"/>
          <w:lang w:val="pt-BR"/>
        </w:rPr>
        <w:lastRenderedPageBreak/>
        <w:t xml:space="preserve">referencia el proyecto piloto desarrollado por el Consulado General de Brasil en Roma; </w:t>
      </w:r>
    </w:p>
    <w:p w14:paraId="36F5D0DE" w14:textId="77777777" w:rsidR="002C1B58" w:rsidRPr="00B06F4F" w:rsidRDefault="002C1B58">
      <w:pPr>
        <w:pStyle w:val="SFPd"/>
        <w:rPr>
          <w:color w:val="000000"/>
          <w:lang w:val="pt-BR"/>
        </w:rPr>
      </w:pPr>
      <w:r>
        <w:rPr>
          <w:color w:val="000000"/>
          <w:lang w:val="pt-BR"/>
        </w:rPr>
        <w:t xml:space="preserve">j) Apelar al Poder Legislativo para que, en diálogo con el Poder Ejecutivo, evalúe la necesidad de una legislación específica que regule el Convenio de La Haya de 1980, especialmente en lo que respecta a los aspectos procesales y probatorios de su aplicación; </w:t>
      </w:r>
    </w:p>
    <w:p w14:paraId="0F5AA74C" w14:textId="77777777" w:rsidR="002C1B58" w:rsidRPr="00B06F4F" w:rsidRDefault="002C1B58">
      <w:pPr>
        <w:pStyle w:val="SFPd"/>
        <w:rPr>
          <w:color w:val="000000"/>
          <w:lang w:val="pt-BR"/>
        </w:rPr>
      </w:pPr>
      <w:r>
        <w:rPr>
          <w:color w:val="000000"/>
          <w:lang w:val="pt-BR"/>
        </w:rPr>
        <w:t>k) Determinar que los Tribunales Regionales Federales y los Tribunales de Justicia celebren acuerdos de cooperación judicial para establecer protocolos de actuación coordinada en casos de sustracción internacional de menores, contemplando, entre otras medidas, el intercambio de información relativa a las acciones de custodia y las acciones basadas en el Convenio de La Haya de 1980 y el uso compartido de estructuras y equipos multidisciplinarios, especialmente para la producción de peritajes;</w:t>
      </w:r>
    </w:p>
    <w:p w14:paraId="23D0CF80" w14:textId="77777777" w:rsidR="002C1B58" w:rsidRPr="00B06F4F" w:rsidRDefault="002C1B58">
      <w:pPr>
        <w:pStyle w:val="SFPd"/>
        <w:rPr>
          <w:color w:val="000000"/>
          <w:lang w:val="pt-BR"/>
        </w:rPr>
      </w:pPr>
      <w:r>
        <w:rPr>
          <w:color w:val="000000"/>
          <w:lang w:val="pt-BR"/>
        </w:rPr>
        <w:t>l) Una vez reconocido que no se cumplen las condiciones previstas en la Convención para determinar la restitución, se establece la competencia de la Justicia brasileña, en la jurisdicción del domicilio del progenitor sustractor, para decidir las cuestiones de fondo involucradas en el caso, incluida la custodia del menor.</w:t>
      </w:r>
    </w:p>
    <w:p w14:paraId="1CB52084" w14:textId="77777777" w:rsidR="002C1B58" w:rsidRPr="00B06F4F" w:rsidRDefault="002C1B58">
      <w:pPr>
        <w:pStyle w:val="SFPd"/>
        <w:rPr>
          <w:color w:val="000000"/>
          <w:lang w:val="pt-BR"/>
        </w:rPr>
      </w:pPr>
      <w:r w:rsidRPr="00B06F4F">
        <w:rPr>
          <w:color w:val="000000"/>
          <w:lang w:val="pt-BR"/>
        </w:rPr>
        <w:t xml:space="preserve">  </w:t>
      </w:r>
    </w:p>
    <w:p w14:paraId="6BAD3893" w14:textId="77777777" w:rsidR="002C1B58" w:rsidRPr="00B06F4F" w:rsidRDefault="002C1B58">
      <w:pPr>
        <w:pStyle w:val="SFPd"/>
        <w:rPr>
          <w:color w:val="000000"/>
          <w:lang w:val="pt-BR"/>
        </w:rPr>
      </w:pPr>
      <w:r>
        <w:rPr>
          <w:color w:val="000000"/>
          <w:lang w:val="pt-BR"/>
        </w:rPr>
        <w:t xml:space="preserve">160. Propongo establecer la siguiente tesis de juicio: </w:t>
      </w:r>
    </w:p>
    <w:p w14:paraId="6F604A53" w14:textId="77777777" w:rsidR="002C1B58" w:rsidRPr="00B06F4F" w:rsidRDefault="002C1B58">
      <w:pPr>
        <w:pStyle w:val="SFPd"/>
        <w:rPr>
          <w:color w:val="000000"/>
          <w:lang w:val="pt-BR"/>
        </w:rPr>
      </w:pPr>
      <w:r w:rsidRPr="00B06F4F">
        <w:rPr>
          <w:color w:val="000000"/>
          <w:lang w:val="pt-BR"/>
        </w:rPr>
        <w:t xml:space="preserve">        </w:t>
      </w:r>
    </w:p>
    <w:p w14:paraId="5C1033C8" w14:textId="77777777" w:rsidR="002C1B58" w:rsidRPr="00B06F4F" w:rsidRDefault="002C1B58">
      <w:pPr>
        <w:pStyle w:val="SFPd"/>
        <w:rPr>
          <w:color w:val="000000"/>
          <w:lang w:val="pt-BR"/>
        </w:rPr>
      </w:pPr>
      <w:r>
        <w:rPr>
          <w:color w:val="000000"/>
          <w:lang w:val="pt-BR"/>
        </w:rPr>
        <w:t>“1. El Convenio de La Haya de 1980 sobre los aspectos civiles de la sustracción internacional de menores es compatible con la Constitución Federal, teniendo rango supralegal en el ordenamiento jurídico brasileño, por su naturaleza de tratado internacional para la protección de los derechos del niño.</w:t>
      </w:r>
    </w:p>
    <w:p w14:paraId="749F7391" w14:textId="77777777" w:rsidR="002C1B58" w:rsidRPr="00B06F4F" w:rsidRDefault="002C1B58">
      <w:pPr>
        <w:pStyle w:val="SFPd"/>
        <w:rPr>
          <w:color w:val="000000"/>
          <w:lang w:val="pt-BR"/>
        </w:rPr>
      </w:pPr>
      <w:r>
        <w:rPr>
          <w:color w:val="000000"/>
          <w:lang w:val="pt-BR"/>
        </w:rPr>
        <w:t>2. La aplicación de la Convención en Brasil, a la luz del principio del interés superior del niño (art. 227, CF), requiere la adopción de medidas estructurales y procesales para garantizar la tramitación rápida y eficaz de las acciones de restitución internacional de niños.</w:t>
      </w:r>
    </w:p>
    <w:p w14:paraId="242181CE" w14:textId="77777777" w:rsidR="002C1B58" w:rsidRPr="00B06F4F" w:rsidRDefault="002C1B58">
      <w:pPr>
        <w:pStyle w:val="SFPd"/>
        <w:rPr>
          <w:color w:val="000000"/>
          <w:lang w:val="pt-BR"/>
        </w:rPr>
      </w:pPr>
      <w:r>
        <w:rPr>
          <w:color w:val="000000"/>
          <w:lang w:val="pt-BR"/>
        </w:rPr>
        <w:t>3. La excepción de riesgo grave para el niño, prevista en el art. 13 (1)(b) del Convenio de La Haya de 1980, debe interpretarse de manera compatible con el principio del interés superior del niño (art. 227, CF) y con una perspectiva de género, para admitir su aplicación cuando existan pruebas objetivas y concretas de violencia doméstica, incluso si el niño no es víctima directa”.</w:t>
      </w:r>
    </w:p>
    <w:p w14:paraId="347D86B1" w14:textId="77777777" w:rsidR="002C1B58" w:rsidRPr="00B06F4F" w:rsidRDefault="002C1B58">
      <w:pPr>
        <w:pStyle w:val="SFPd"/>
        <w:rPr>
          <w:color w:val="000000"/>
          <w:lang w:val="pt-BR"/>
        </w:rPr>
      </w:pPr>
      <w:r w:rsidRPr="00B06F4F">
        <w:rPr>
          <w:color w:val="000000"/>
          <w:lang w:val="pt-BR"/>
        </w:rPr>
        <w:t xml:space="preserve">        </w:t>
      </w:r>
    </w:p>
    <w:p w14:paraId="4EA4F962" w14:textId="77777777" w:rsidR="002C1B58" w:rsidRPr="00B06F4F" w:rsidRDefault="002C1B58">
      <w:pPr>
        <w:pStyle w:val="SFPd"/>
        <w:rPr>
          <w:color w:val="000000"/>
          <w:lang w:val="pt-BR"/>
        </w:rPr>
      </w:pPr>
      <w:r>
        <w:rPr>
          <w:color w:val="000000"/>
          <w:lang w:val="pt-BR"/>
        </w:rPr>
        <w:t xml:space="preserve">161. Es la votación. </w:t>
      </w:r>
    </w:p>
    <w:p w14:paraId="2A001093" w14:textId="77777777" w:rsidR="002C1B58" w:rsidRPr="00B06F4F" w:rsidRDefault="002C1B58">
      <w:pPr>
        <w:pStyle w:val="SFPd"/>
        <w:rPr>
          <w:color w:val="000000"/>
          <w:lang w:val="pt-BR"/>
        </w:rPr>
      </w:pPr>
    </w:p>
    <w:p w14:paraId="5F88A76D" w14:textId="77777777" w:rsidR="002C1B58" w:rsidRPr="00B06F4F" w:rsidRDefault="002C1B58">
      <w:pPr>
        <w:pStyle w:val="SFPd"/>
        <w:rPr>
          <w:color w:val="000000"/>
          <w:lang w:val="pt-BR"/>
        </w:rPr>
      </w:pPr>
    </w:p>
    <w:p w14:paraId="188BDA24" w14:textId="77777777" w:rsidR="002C1B58" w:rsidRPr="00B06F4F" w:rsidRDefault="002C1B58">
      <w:pPr>
        <w:pStyle w:val="SFPd"/>
        <w:rPr>
          <w:color w:val="000000"/>
          <w:lang w:val="pt-BR"/>
        </w:rPr>
      </w:pPr>
      <w:r>
        <w:rPr>
          <w:b/>
          <w:bCs/>
          <w:smallCaps/>
          <w:color w:val="000000"/>
          <w:u w:val="single"/>
          <w:lang w:val="pt-BR"/>
        </w:rPr>
        <w:t>Notas:</w:t>
      </w:r>
    </w:p>
    <w:p w14:paraId="483C4CE0" w14:textId="77777777" w:rsidR="002C1B58" w:rsidRPr="00B06F4F" w:rsidRDefault="002C1B58">
      <w:pPr>
        <w:pStyle w:val="SFPd"/>
        <w:rPr>
          <w:color w:val="000000"/>
          <w:lang w:val="pt-BR"/>
        </w:rPr>
      </w:pPr>
      <w:r>
        <w:rPr>
          <w:color w:val="000000"/>
          <w:lang w:val="pt-BR"/>
        </w:rPr>
        <w:t xml:space="preserve">[1] LINDB, art. 7º La ley del país en que la persona esté domiciliada determina las reglas sobre el principio y fin de la personalidad, el nombre, la </w:t>
      </w:r>
      <w:r>
        <w:rPr>
          <w:color w:val="000000"/>
          <w:lang w:val="pt-BR"/>
        </w:rPr>
        <w:lastRenderedPageBreak/>
        <w:t>capacidad y los derechos familiares.</w:t>
      </w:r>
    </w:p>
    <w:p w14:paraId="4C5E1740" w14:textId="77777777" w:rsidR="002C1B58" w:rsidRPr="00B06F4F" w:rsidRDefault="002C1B58">
      <w:pPr>
        <w:pStyle w:val="SFPd"/>
        <w:rPr>
          <w:color w:val="000000"/>
          <w:lang w:val="pt-BR"/>
        </w:rPr>
      </w:pPr>
      <w:r>
        <w:rPr>
          <w:color w:val="000000"/>
          <w:lang w:val="pt-BR"/>
        </w:rPr>
        <w:t xml:space="preserve">[2] Las “hipótesis de no devolución” (art. 13, 1, “b”) constituyen excepciones al deber de restitución inmediata del niño cuando se prueba que existe un riesgo grave de que el niño, al ser restituido, quede expuesto a peligros físicos o psíquicos, o, de cualquier otra forma, quede en una situación intolerable. </w:t>
      </w:r>
    </w:p>
    <w:p w14:paraId="50AEBEFA" w14:textId="77777777" w:rsidR="002C1B58" w:rsidRPr="00B06F4F" w:rsidRDefault="002C1B58">
      <w:pPr>
        <w:pStyle w:val="SFPd"/>
        <w:rPr>
          <w:color w:val="000000"/>
          <w:lang w:val="pt-BR"/>
        </w:rPr>
      </w:pPr>
      <w:r>
        <w:rPr>
          <w:color w:val="000000"/>
          <w:lang w:val="pt-BR"/>
        </w:rPr>
        <w:t>[3] RE 349.703/RS, versión rel. Mín. Carlos Ayres Britto, rojo. para el gobernante Min. Gilmar Mendes, Pleno, j. el 12.03.2008. Véase también RE 466343, Rel. Mín. Cezar Peluso, Pleno, j. el 12.03.2008.</w:t>
      </w:r>
    </w:p>
    <w:p w14:paraId="5AE156A8" w14:textId="77777777" w:rsidR="002C1B58" w:rsidRPr="00B06F4F" w:rsidRDefault="002C1B58">
      <w:pPr>
        <w:pStyle w:val="SFPd"/>
        <w:rPr>
          <w:color w:val="000000"/>
          <w:lang w:val="pt-BR"/>
        </w:rPr>
      </w:pPr>
      <w:r>
        <w:rPr>
          <w:color w:val="000000"/>
          <w:lang w:val="pt-BR"/>
        </w:rPr>
        <w:t xml:space="preserve">[4] Conferencia de La Haya de Derecho Internacional Privado – HCCH. Guía de buenas prácticas de la HCCH en virtud de la Convención sobre los aspectos civiles de la sustracción internacional de niños – Parte VI – Artículo 13(1)(b). La Haya, Países Bajos, pág. 25. </w:t>
      </w:r>
    </w:p>
    <w:p w14:paraId="11C66312" w14:textId="77777777" w:rsidR="002C1B58" w:rsidRPr="00032AAE" w:rsidRDefault="002C1B58">
      <w:pPr>
        <w:pStyle w:val="SFPd"/>
        <w:rPr>
          <w:color w:val="000000"/>
          <w:lang w:val="en-US"/>
        </w:rPr>
      </w:pPr>
      <w:r>
        <w:rPr>
          <w:color w:val="000000"/>
          <w:lang w:val="pt-BR"/>
        </w:rPr>
        <w:t>[5] La Guía de Buenas Prácticas para la aplicación del Convenio de La Haya señala que las autoridades del Estado de residencia habitual están en la mejor posición para decidir sobre cuestiones relativas a la custodia y los derechos de visita, lo que requiere una actitud de reciprocidad y confianza en el Poder Judicial del otro Estado, como capaz de tratar de manera justa y adecuada tales cuestiones. Esta postura, basada en la cortesía internacional, exige que las partes contratantes “estén convencidas de que pertenecen, a pesar de sus diferencias, a la misma comunidad jurídica en la que las autoridades de cada Estado reconocen que las autoridades de uno de ellos –las de la residencia habitual del niño– están, en principio, en las mejores condiciones para decidir sobre cuestiones de custodia y visitas V., además, MORLEY, Jeremy D. The Hague Abduction Convention: Practical Issues and Procedimientos for Family Lawyers. Second Edition. Chicago: American Bar Association, 2016, págs. 3-11.</w:t>
      </w:r>
    </w:p>
    <w:p w14:paraId="02D35C92" w14:textId="77777777" w:rsidR="002C1B58" w:rsidRPr="00B06F4F" w:rsidRDefault="002C1B58">
      <w:pPr>
        <w:pStyle w:val="SFPd"/>
        <w:rPr>
          <w:color w:val="000000"/>
          <w:lang w:val="pt-BR"/>
        </w:rPr>
      </w:pPr>
      <w:r>
        <w:rPr>
          <w:color w:val="000000"/>
          <w:lang w:val="en-US"/>
        </w:rPr>
        <w:t>[6] MORLEY, Jeremy D. Convenio de La Haya sobre sustracción: cuestiones prácticas y procedimientos para abogados de familia. Segunda Edición. Chicago: Asociación de Abogados de Estados Unidos, 2016, págs. 2-11.</w:t>
      </w:r>
    </w:p>
    <w:p w14:paraId="0192F4E8" w14:textId="77777777" w:rsidR="002C1B58" w:rsidRPr="00B06F4F" w:rsidRDefault="002C1B58">
      <w:pPr>
        <w:pStyle w:val="SFPd"/>
        <w:rPr>
          <w:color w:val="000000"/>
          <w:lang w:val="pt-BR"/>
        </w:rPr>
      </w:pPr>
      <w:r>
        <w:rPr>
          <w:color w:val="000000"/>
          <w:lang w:val="pt-BR"/>
        </w:rPr>
        <w:t>[7] Conferencia de La Haya de Derecho Internacional Privado – HCCH. Guía de buenas prácticas de la HCCH en virtud de la Convención sobre los aspectos civiles de la sustracción internacional de niños. La Haya, Países Bajos.</w:t>
      </w:r>
    </w:p>
    <w:p w14:paraId="7DCA0DAB" w14:textId="77777777" w:rsidR="002C1B58" w:rsidRPr="00B06F4F" w:rsidRDefault="002C1B58">
      <w:pPr>
        <w:pStyle w:val="SFPd"/>
        <w:rPr>
          <w:color w:val="000000"/>
          <w:lang w:val="pt-BR"/>
        </w:rPr>
      </w:pPr>
      <w:r>
        <w:rPr>
          <w:color w:val="000000"/>
          <w:lang w:val="pt-BR"/>
        </w:rPr>
        <w:t xml:space="preserve">[8] Op. cit. Parte VI – Artículo 13(1)(b). </w:t>
      </w:r>
    </w:p>
    <w:p w14:paraId="4B7B6275" w14:textId="77777777" w:rsidR="002C1B58" w:rsidRPr="00B06F4F" w:rsidRDefault="002C1B58">
      <w:pPr>
        <w:pStyle w:val="SFPd"/>
        <w:rPr>
          <w:color w:val="000000"/>
          <w:lang w:val="pt-BR"/>
        </w:rPr>
      </w:pPr>
      <w:r>
        <w:rPr>
          <w:color w:val="000000"/>
          <w:lang w:val="pt-BR"/>
        </w:rPr>
        <w:t>[9] Conferencia de La Haya de Derecho Internacional Privado – HCCH. Guía de buenas prácticas de la HCCH en virtud de la Convención sobre los aspectos civiles de la sustracción internacional de niños – Parte VI – Artículo 13(1)(b). La Haya, Países Bajos, pág. 28.</w:t>
      </w:r>
    </w:p>
    <w:p w14:paraId="577D0D93" w14:textId="77777777" w:rsidR="002C1B58" w:rsidRPr="00B06F4F" w:rsidRDefault="002C1B58">
      <w:pPr>
        <w:pStyle w:val="SFPd"/>
        <w:rPr>
          <w:color w:val="000000"/>
          <w:lang w:val="pt-BR"/>
        </w:rPr>
      </w:pPr>
      <w:r>
        <w:rPr>
          <w:color w:val="000000"/>
          <w:lang w:val="pt-BR"/>
        </w:rPr>
        <w:t xml:space="preserve">[10] Art. 15. Corresponde al Departamento de Recuperación de Activos y Cooperación Jurídica Internacional: (...) III - estructurar, implementar y monitorear las acciones gubernamentales y promover la coordinación entre </w:t>
      </w:r>
      <w:r>
        <w:rPr>
          <w:color w:val="000000"/>
          <w:lang w:val="pt-BR"/>
        </w:rPr>
        <w:lastRenderedPageBreak/>
        <w:t>los órganos de los Poderes Ejecutivo, Judicial y el Ministerio Público en las siguientes áreas: a) cooperación jurídica internacional en materia civil, incluyendo materias relacionadas con: (...) 3. visitas, adopción y sustracción internacional de niños y adolescentes; (...).</w:t>
      </w:r>
    </w:p>
    <w:p w14:paraId="737EAFE5" w14:textId="77777777" w:rsidR="002C1B58" w:rsidRPr="00B06F4F" w:rsidRDefault="002C1B58">
      <w:pPr>
        <w:pStyle w:val="SFPd"/>
        <w:rPr>
          <w:color w:val="000000"/>
          <w:lang w:val="pt-BR"/>
        </w:rPr>
      </w:pPr>
      <w:r>
        <w:rPr>
          <w:color w:val="000000"/>
          <w:lang w:val="pt-BR"/>
        </w:rPr>
        <w:t>[11] SIFUENTES, Mónica; GAMA, Guilherme Calmon Nogueira da. Manual de aplicación del Convenio de La Haya de 1980. Brasilia: Consejo de la Justicia Federal – CJF, 2021, págs. 14-19.</w:t>
      </w:r>
    </w:p>
    <w:p w14:paraId="5E2EC8D2" w14:textId="77777777" w:rsidR="002C1B58" w:rsidRPr="00B06F4F" w:rsidRDefault="002C1B58">
      <w:pPr>
        <w:pStyle w:val="SFPd"/>
        <w:rPr>
          <w:color w:val="000000"/>
          <w:lang w:val="pt-BR"/>
        </w:rPr>
      </w:pPr>
      <w:r>
        <w:rPr>
          <w:color w:val="000000"/>
          <w:lang w:val="pt-BR"/>
        </w:rPr>
        <w:t xml:space="preserve">[12] Art. 3º, III, de la Ordenanza MJSP nº 688/2024 califica como solicitante “a la persona que tiene la custodia o tutela o la institución pública o privada legalmente responsable que pretende la restitución del niño, niña o adolescente ilegalmente trasladado o retenido en país distinto de su residencia habitual”. </w:t>
      </w:r>
    </w:p>
    <w:p w14:paraId="43DAF808" w14:textId="77777777" w:rsidR="002C1B58" w:rsidRPr="00B06F4F" w:rsidRDefault="002C1B58">
      <w:pPr>
        <w:pStyle w:val="SFPd"/>
        <w:rPr>
          <w:color w:val="000000"/>
          <w:lang w:val="pt-BR"/>
        </w:rPr>
      </w:pPr>
      <w:r>
        <w:rPr>
          <w:color w:val="000000"/>
          <w:lang w:val="pt-BR"/>
        </w:rPr>
        <w:t xml:space="preserve">[13] Art. 7º y ss. de la Ordenanza n.º 688/2024 del MJSP regulan la cooperación jurídica internacional pasiva en los casos cubiertos por el Convenio de La Haya de 1980. </w:t>
      </w:r>
    </w:p>
    <w:p w14:paraId="426A1948" w14:textId="77777777" w:rsidR="002C1B58" w:rsidRPr="00B06F4F" w:rsidRDefault="002C1B58">
      <w:pPr>
        <w:pStyle w:val="SFPd"/>
        <w:rPr>
          <w:color w:val="000000"/>
          <w:lang w:val="pt-BR"/>
        </w:rPr>
      </w:pPr>
      <w:r>
        <w:rPr>
          <w:color w:val="000000"/>
          <w:lang w:val="pt-BR"/>
        </w:rPr>
        <w:t>[14] Art. 27. Cuando se compruebe que no se cumplen las condiciones exigidas por este Convenio o que la solicitud es infundada, la Autoridad Central no estará obligada a recibirla. En este caso, la Autoridad Central informará inmediatamente de sus motivos al solicitante o, en su caso, a la Autoridad Central que envió la solicitud.</w:t>
      </w:r>
    </w:p>
    <w:p w14:paraId="7B58B8D8" w14:textId="77777777" w:rsidR="002C1B58" w:rsidRPr="00B06F4F" w:rsidRDefault="002C1B58">
      <w:pPr>
        <w:pStyle w:val="SFPd"/>
        <w:rPr>
          <w:color w:val="000000"/>
          <w:lang w:val="pt-BR"/>
        </w:rPr>
      </w:pPr>
      <w:r>
        <w:rPr>
          <w:color w:val="000000"/>
          <w:lang w:val="pt-BR"/>
        </w:rPr>
        <w:t>[15] Art. 8.º, § 11, de la Ordenanza MJSP nº 688/2024 establece que: “Una vez demostrada la existencia clara de las excepciones de restitución previstas en el artículo 13, párrafo "b" del Convenio de La Haya de 1980, la autoridad central orientará al solicitante, a través de la autoridad central extranjera, para promover, si lo desea, la acción privada de sustracción internacional, a través de un abogado privado o de un defensor público, siempre que la hiposuficiencia financiera, bajo en los términos de la Ley N° 1.060, de 5 de febrero de 1950.”</w:t>
      </w:r>
    </w:p>
    <w:p w14:paraId="15B82092" w14:textId="77777777" w:rsidR="002C1B58" w:rsidRPr="00B06F4F" w:rsidRDefault="002C1B58">
      <w:pPr>
        <w:pStyle w:val="SFPd"/>
        <w:rPr>
          <w:color w:val="000000"/>
          <w:lang w:val="pt-BR"/>
        </w:rPr>
      </w:pPr>
      <w:r>
        <w:rPr>
          <w:color w:val="000000"/>
          <w:lang w:val="pt-BR"/>
        </w:rPr>
        <w:t>[16] Al respecto, la Ordenanza MJSP N° 688/2024 establece:</w:t>
      </w:r>
    </w:p>
    <w:p w14:paraId="53C63C4E" w14:textId="77777777" w:rsidR="002C1B58" w:rsidRPr="00B06F4F" w:rsidRDefault="002C1B58">
      <w:pPr>
        <w:pStyle w:val="SFPd"/>
        <w:rPr>
          <w:color w:val="000000"/>
          <w:lang w:val="pt-BR"/>
        </w:rPr>
      </w:pPr>
      <w:r>
        <w:rPr>
          <w:color w:val="000000"/>
          <w:lang w:val="pt-BR"/>
        </w:rPr>
        <w:t>Art. 8 [...]:</w:t>
      </w:r>
    </w:p>
    <w:p w14:paraId="7704702C" w14:textId="77777777" w:rsidR="002C1B58" w:rsidRPr="00B06F4F" w:rsidRDefault="002C1B58">
      <w:pPr>
        <w:pStyle w:val="SFPd"/>
        <w:rPr>
          <w:color w:val="000000"/>
          <w:lang w:val="pt-BR"/>
        </w:rPr>
      </w:pPr>
      <w:r>
        <w:rPr>
          <w:color w:val="000000"/>
          <w:lang w:val="pt-BR"/>
        </w:rPr>
        <w:t>§ 6º Una vez localizado el imputado, la autoridad central se comunicará inmediatamente con usted vía medios virtuales (teléfono, aplicaciones de mensajería instantánea o correo electrónico) para verificar la posibilidad de conciliación con el solicitante.</w:t>
      </w:r>
    </w:p>
    <w:p w14:paraId="00504126" w14:textId="77777777" w:rsidR="002C1B58" w:rsidRPr="00B06F4F" w:rsidRDefault="002C1B58">
      <w:pPr>
        <w:pStyle w:val="SFPd"/>
        <w:rPr>
          <w:color w:val="000000"/>
          <w:lang w:val="pt-BR"/>
        </w:rPr>
      </w:pPr>
      <w:r>
        <w:rPr>
          <w:color w:val="000000"/>
          <w:lang w:val="pt-BR"/>
        </w:rPr>
        <w:t>§ 7º Si se logra consenso entre las partes, la autoridad central redactará los términos del acuerdo, el cual, luego de la firma de ambas partes y dos testigos, adquirirá la categoría de título ejecutivo extrajudicial, de conformidad con el art. 784, fracción III, del Código de Procedimiento Civil.</w:t>
      </w:r>
    </w:p>
    <w:p w14:paraId="21DFF758" w14:textId="77777777" w:rsidR="002C1B58" w:rsidRPr="00B06F4F" w:rsidRDefault="002C1B58">
      <w:pPr>
        <w:pStyle w:val="SFPd"/>
        <w:rPr>
          <w:color w:val="000000"/>
          <w:lang w:val="pt-BR"/>
        </w:rPr>
      </w:pPr>
      <w:r>
        <w:rPr>
          <w:color w:val="000000"/>
          <w:lang w:val="pt-BR"/>
        </w:rPr>
        <w:t>§ 8 Si hay manifestación expresa en contra de la continuación de la conciliación, el demandado tendrá un plazo de siete días para presentar una respuesta escrita a las alegaciones del solicitante acompañada de pruebas.</w:t>
      </w:r>
    </w:p>
    <w:p w14:paraId="2820A8B7" w14:textId="77777777" w:rsidR="002C1B58" w:rsidRPr="00B06F4F" w:rsidRDefault="002C1B58">
      <w:pPr>
        <w:pStyle w:val="SFPd"/>
        <w:rPr>
          <w:color w:val="000000"/>
          <w:lang w:val="pt-BR"/>
        </w:rPr>
      </w:pPr>
      <w:r>
        <w:rPr>
          <w:color w:val="000000"/>
          <w:lang w:val="pt-BR"/>
        </w:rPr>
        <w:t>[17] De conformidad con la Ordenanza MJSP nº 688/2024:</w:t>
      </w:r>
    </w:p>
    <w:p w14:paraId="07F529C2" w14:textId="77777777" w:rsidR="002C1B58" w:rsidRPr="00B06F4F" w:rsidRDefault="002C1B58">
      <w:pPr>
        <w:pStyle w:val="SFPd"/>
        <w:rPr>
          <w:color w:val="000000"/>
          <w:lang w:val="pt-BR"/>
        </w:rPr>
      </w:pPr>
      <w:r>
        <w:rPr>
          <w:color w:val="000000"/>
          <w:lang w:val="pt-BR"/>
        </w:rPr>
        <w:t>Art. 8 [...]:</w:t>
      </w:r>
    </w:p>
    <w:p w14:paraId="634FB092" w14:textId="77777777" w:rsidR="002C1B58" w:rsidRPr="00B06F4F" w:rsidRDefault="002C1B58">
      <w:pPr>
        <w:pStyle w:val="SFPd"/>
        <w:rPr>
          <w:color w:val="000000"/>
          <w:lang w:val="pt-BR"/>
        </w:rPr>
      </w:pPr>
      <w:r>
        <w:rPr>
          <w:color w:val="000000"/>
          <w:lang w:val="pt-BR"/>
        </w:rPr>
        <w:lastRenderedPageBreak/>
        <w:t>§ 10. Si no se logra la conciliación y el plazo para la respuesta del demandado ha vencido, la autoridad central enviará a Abogacía General de la Unión, dentro de los siete días, una nota técnica con las informaciones necesarias para adoptar las medidas de interposición de la acción de sustracción internacional con base en el Convenio de La Haya de 1980.</w:t>
      </w:r>
    </w:p>
    <w:p w14:paraId="0335BA9E" w14:textId="77777777" w:rsidR="002C1B58" w:rsidRDefault="002C1B58">
      <w:pPr>
        <w:pStyle w:val="SFPd"/>
        <w:rPr>
          <w:color w:val="000000"/>
        </w:rPr>
      </w:pPr>
      <w:r>
        <w:rPr>
          <w:color w:val="000000"/>
        </w:rPr>
        <w:t>[18] ADI 4245, ID: ee93d862, doc. 85.</w:t>
      </w:r>
    </w:p>
    <w:p w14:paraId="3F44F041" w14:textId="77777777" w:rsidR="002C1B58" w:rsidRDefault="002C1B58">
      <w:pPr>
        <w:pStyle w:val="SFPd"/>
        <w:rPr>
          <w:color w:val="000000"/>
        </w:rPr>
      </w:pPr>
      <w:r>
        <w:rPr>
          <w:color w:val="000000"/>
        </w:rPr>
        <w:t>[19] ADI 4245, ID: ee93d862, doc. 85.</w:t>
      </w:r>
    </w:p>
    <w:p w14:paraId="52C1B193" w14:textId="77777777" w:rsidR="002C1B58" w:rsidRPr="00032AAE" w:rsidRDefault="002C1B58">
      <w:pPr>
        <w:pStyle w:val="SFPd"/>
        <w:rPr>
          <w:color w:val="000000"/>
          <w:lang w:val="en-US"/>
        </w:rPr>
      </w:pPr>
      <w:r>
        <w:rPr>
          <w:color w:val="000000"/>
          <w:lang w:val="en-US"/>
        </w:rPr>
        <w:t xml:space="preserve">[20] ESTADOS UNIDOS DE AMÉRICA. Informe anual 2025 sobre sustracción internacional de menores. </w:t>
      </w:r>
    </w:p>
    <w:p w14:paraId="6BC63B94" w14:textId="77777777" w:rsidR="002C1B58" w:rsidRPr="00032AAE" w:rsidRDefault="002C1B58">
      <w:pPr>
        <w:pStyle w:val="SFPd"/>
        <w:rPr>
          <w:color w:val="000000"/>
          <w:lang w:val="en-US"/>
        </w:rPr>
      </w:pPr>
      <w:r>
        <w:rPr>
          <w:color w:val="000000"/>
          <w:lang w:val="en-US"/>
        </w:rPr>
        <w:t>[21] En el original: "En 2024, Brasil continuó demostrando un patrón de incumplimiento, por vigésimo año consecutivo. Específicamente, las autoridades judiciales brasileñas no implementaron ni cumplieron regularmente las disposiciones de la Convención. Como resultado de este incumplimiento, el 37 por ciento de los casos de sustracción en virtud de la Convención permanecieron sin resolver durante más de 12 meses. En promedio, estos casos estuvieron sin resolver durante tres años y nueve meses. Brasil fue citado anteriormente por demostrar un patrón de incumplimiento en los Informes Anuales 2006-2024”.</w:t>
      </w:r>
    </w:p>
    <w:p w14:paraId="2EE87B2D" w14:textId="77777777" w:rsidR="002C1B58" w:rsidRPr="00B06F4F" w:rsidRDefault="002C1B58">
      <w:pPr>
        <w:pStyle w:val="SFPd"/>
        <w:rPr>
          <w:color w:val="000000"/>
          <w:lang w:val="pt-BR"/>
        </w:rPr>
      </w:pPr>
      <w:r>
        <w:rPr>
          <w:color w:val="000000"/>
          <w:lang w:val="en-US"/>
        </w:rPr>
        <w:t>[22] HOEGGER, Roxanne. ¿Y si ella se va? Casos de violencia doméstica bajo el Convenio de La Haya y la insuficiencia del recurso de compromiso. En: Berkeley Women's Law Journal., pág. 187; BARNETT, Adrienne; KAYE, Miranda; WEINER, Merle. El Foro de 2024 sobre Violencia Doméstica y el Convenio de La Haya sobre Sustracción. Artículo aceptado para publicación en International Journal of Law, Policy and the Family, publicado por Oxford University Press, p. 3.; MORLEY, Jeremy D., op. cit., pág. 3.</w:t>
      </w:r>
    </w:p>
    <w:p w14:paraId="27CA4218" w14:textId="77777777" w:rsidR="002C1B58" w:rsidRPr="00B06F4F" w:rsidRDefault="002C1B58">
      <w:pPr>
        <w:pStyle w:val="SFPd"/>
        <w:rPr>
          <w:color w:val="000000"/>
          <w:lang w:val="nl-NL"/>
        </w:rPr>
      </w:pPr>
      <w:r>
        <w:rPr>
          <w:color w:val="000000"/>
          <w:lang w:val="pt-BR"/>
        </w:rPr>
        <w:t xml:space="preserve">[23] Datos más recientes indican que, actualmente, alrededor del 75% de los “progenitores sustractores” son madres, siendo el 94% los principales cuidadores del niño. (BARNETT, Adrienne; KAYE, Miranda; WEINER, Merle. op. cit., p. 3.) </w:t>
      </w:r>
    </w:p>
    <w:p w14:paraId="155656E8" w14:textId="77777777" w:rsidR="002C1B58" w:rsidRPr="00B06F4F" w:rsidRDefault="002C1B58">
      <w:pPr>
        <w:pStyle w:val="SFPd"/>
        <w:rPr>
          <w:color w:val="000000"/>
          <w:lang w:val="nl-NL"/>
        </w:rPr>
      </w:pPr>
      <w:r>
        <w:rPr>
          <w:color w:val="000000"/>
          <w:lang w:val="nl-NL"/>
        </w:rPr>
        <w:t>[24] HOEGGER, Roxanne. op. Cit., pág. 207.</w:t>
      </w:r>
    </w:p>
    <w:p w14:paraId="2C50C0FF" w14:textId="77777777" w:rsidR="002C1B58" w:rsidRPr="00B06F4F" w:rsidRDefault="002C1B58">
      <w:pPr>
        <w:pStyle w:val="SFPd"/>
        <w:rPr>
          <w:color w:val="000000"/>
          <w:lang w:val="pt-BR"/>
        </w:rPr>
      </w:pPr>
      <w:r>
        <w:rPr>
          <w:color w:val="000000"/>
          <w:lang w:val="en-US"/>
        </w:rPr>
        <w:t>[25] PARLAMENTO EUROPEO. DE RUITER, Adriana. 40 años del Convenio de La Haya sobre sustracción de menores: cambios legales y sociales en los derechos del niño. Análisis en profundidad solicitado por el comité JURI. Departamento Temático de Derechos de los Ciudadanos y Asuntos Constitucionales Dirección General de Políticas Internas del Parlamento Europeo. PE 660.559 - Noviembre 2020.</w:t>
      </w:r>
    </w:p>
    <w:p w14:paraId="3108D1C0" w14:textId="77777777" w:rsidR="002C1B58" w:rsidRPr="00B06F4F" w:rsidRDefault="002C1B58">
      <w:pPr>
        <w:pStyle w:val="SFPd"/>
        <w:rPr>
          <w:color w:val="000000"/>
          <w:lang w:val="pt-BR"/>
        </w:rPr>
      </w:pPr>
      <w:r>
        <w:rPr>
          <w:color w:val="000000"/>
          <w:lang w:val="pt-BR"/>
        </w:rPr>
        <w:t>[26] Ídem.</w:t>
      </w:r>
    </w:p>
    <w:p w14:paraId="3A6387CB" w14:textId="77777777" w:rsidR="002C1B58" w:rsidRPr="00B06F4F" w:rsidRDefault="002C1B58">
      <w:pPr>
        <w:pStyle w:val="SFPd"/>
        <w:rPr>
          <w:color w:val="000000"/>
          <w:lang w:val="pt-BR"/>
        </w:rPr>
      </w:pPr>
      <w:r>
        <w:rPr>
          <w:color w:val="000000"/>
          <w:lang w:val="pt-BR"/>
        </w:rPr>
        <w:t>[27] Artículo 11. 1. Los Estados Partes adoptarán medidas para combatir el traslado ilegal de niños al extranjero y la retención ilegal de niños fuera del país. 2. A tal efecto, los Estados Partes promoverán la celebración de acuerdos bilaterales o multilaterales o la adhesión a acuerdos existentes.</w:t>
      </w:r>
    </w:p>
    <w:p w14:paraId="175D56CF" w14:textId="77777777" w:rsidR="002C1B58" w:rsidRPr="00B06F4F" w:rsidRDefault="002C1B58">
      <w:pPr>
        <w:pStyle w:val="SFPd"/>
        <w:rPr>
          <w:color w:val="000000"/>
          <w:lang w:val="pt-BR"/>
        </w:rPr>
      </w:pPr>
      <w:r>
        <w:rPr>
          <w:color w:val="000000"/>
          <w:lang w:val="pt-BR"/>
        </w:rPr>
        <w:t xml:space="preserve">[28] Art. 227. Es deber de la familia, la sociedad y el Estado garantizar a los niños, adolescentes y jóvenes, con absoluta prioridad, el derecho a la vida, </w:t>
      </w:r>
      <w:r>
        <w:rPr>
          <w:color w:val="000000"/>
          <w:lang w:val="pt-BR"/>
        </w:rPr>
        <w:lastRenderedPageBreak/>
        <w:t xml:space="preserve">la salud, la alimentación, la educación, el ocio, la profesionalización, la cultura, la dignidad, el respeto, la libertad y la convivencia familiar y comunitaria, además de mantenerlos a salvo de toda forma de negligencia, discriminación, explotación, violencia, crueldad y opresión.  </w:t>
      </w:r>
    </w:p>
    <w:p w14:paraId="72D7F16D" w14:textId="77777777" w:rsidR="002C1B58" w:rsidRPr="00B06F4F" w:rsidRDefault="002C1B58">
      <w:pPr>
        <w:pStyle w:val="SFPd"/>
        <w:rPr>
          <w:color w:val="000000"/>
          <w:lang w:val="pt-BR"/>
        </w:rPr>
      </w:pPr>
      <w:r>
        <w:rPr>
          <w:color w:val="000000"/>
          <w:lang w:val="pt-BR"/>
        </w:rPr>
        <w:t>[29] En Brasil, la Ley N° 13.431/2017 reguló los procedimientos para audiencias especializadas y testimonios especiales.</w:t>
      </w:r>
    </w:p>
    <w:p w14:paraId="6155E592" w14:textId="77777777" w:rsidR="002C1B58" w:rsidRPr="00B06F4F" w:rsidRDefault="002C1B58">
      <w:pPr>
        <w:pStyle w:val="SFPd"/>
        <w:rPr>
          <w:color w:val="000000"/>
          <w:lang w:val="pt-BR"/>
        </w:rPr>
      </w:pPr>
      <w:r>
        <w:rPr>
          <w:color w:val="000000"/>
          <w:lang w:val="en-US"/>
        </w:rPr>
        <w:t>[30] FREEMAN, Marilyn, Sustracción parental, los efectos a largo plazo, Centro Internacional de Derecho, Policía y Práctica de Familia, 2014. p. 29. Disponible en: &lt;https://www.icflpp.com/wp-content/uploads/2017/01/ICFLPP_longtermeffects.pdf&gt;</w:t>
      </w:r>
    </w:p>
    <w:p w14:paraId="3754FF5C" w14:textId="77777777" w:rsidR="002C1B58" w:rsidRPr="00032AAE" w:rsidRDefault="002C1B58">
      <w:pPr>
        <w:pStyle w:val="SFPd"/>
        <w:rPr>
          <w:color w:val="000000"/>
          <w:lang w:val="en-US"/>
        </w:rPr>
      </w:pPr>
      <w:r>
        <w:rPr>
          <w:color w:val="000000"/>
          <w:lang w:val="en-US"/>
        </w:rPr>
        <w:t>[31] Ídem. pag. 33.</w:t>
      </w:r>
    </w:p>
    <w:p w14:paraId="52D546C9" w14:textId="77777777" w:rsidR="002C1B58" w:rsidRPr="00032AAE" w:rsidRDefault="002C1B58">
      <w:pPr>
        <w:pStyle w:val="SFPd"/>
        <w:rPr>
          <w:color w:val="000000"/>
          <w:lang w:val="en-US"/>
        </w:rPr>
      </w:pPr>
      <w:r>
        <w:rPr>
          <w:color w:val="000000"/>
          <w:lang w:val="en-US"/>
        </w:rPr>
        <w:t>[32] PARLAMENTO EUROPEO. DE RUITER, Adriana. 40 años del Convenio de La Haya sobre sustracción de menores: cambios legales y sociales en los derechos del niño. op. cit. pag. 13.</w:t>
      </w:r>
    </w:p>
    <w:p w14:paraId="5B09691B" w14:textId="77777777" w:rsidR="002C1B58" w:rsidRPr="00B06F4F" w:rsidRDefault="002C1B58">
      <w:pPr>
        <w:pStyle w:val="SFPd"/>
        <w:rPr>
          <w:color w:val="000000"/>
          <w:lang w:val="pt-BR"/>
        </w:rPr>
      </w:pPr>
      <w:r>
        <w:rPr>
          <w:color w:val="000000"/>
          <w:lang w:val="en-US"/>
        </w:rPr>
        <w:t>[33] FREEMAN, Marilyn, Sustracción parental, los efectos a largo plazo. op. cit. pag. 33.</w:t>
      </w:r>
    </w:p>
    <w:p w14:paraId="131213B8" w14:textId="77777777" w:rsidR="002C1B58" w:rsidRPr="00B06F4F" w:rsidRDefault="002C1B58">
      <w:pPr>
        <w:pStyle w:val="SFPd"/>
        <w:rPr>
          <w:color w:val="000000"/>
          <w:lang w:val="pt-BR"/>
        </w:rPr>
      </w:pPr>
      <w:r>
        <w:rPr>
          <w:color w:val="000000"/>
          <w:lang w:val="pt-BR"/>
        </w:rPr>
        <w:t>[34] Destacan: Alemania, Australia, Austria, Canadá (Ontario y Quebec), Chile, Países Bajos, Nueva Zelanda, Reino Unido y Uruguay.</w:t>
      </w:r>
    </w:p>
    <w:p w14:paraId="378B2454" w14:textId="77777777" w:rsidR="002C1B58" w:rsidRPr="00032AAE" w:rsidRDefault="002C1B58">
      <w:pPr>
        <w:pStyle w:val="SFPd"/>
        <w:rPr>
          <w:color w:val="000000"/>
          <w:lang w:val="en-US"/>
        </w:rPr>
      </w:pPr>
      <w:r>
        <w:rPr>
          <w:color w:val="000000"/>
          <w:lang w:val="pt-BR"/>
        </w:rPr>
        <w:t>[35] Conferencia de La Haya de Derecho Internacional Privado – HCCH. Séptima reunión de la Comisión Especial sobre el funcionamiento práctico del Convenio de La Haya de 1980 sobre sustracción de menores y del Convenio de La Haya de 1996 sobre protección de menores – octubre de 2017, pág. 4.</w:t>
      </w:r>
    </w:p>
    <w:p w14:paraId="6FFD83FA" w14:textId="77777777" w:rsidR="002C1B58" w:rsidRPr="00B06F4F" w:rsidRDefault="002C1B58">
      <w:pPr>
        <w:pStyle w:val="SFPd"/>
        <w:rPr>
          <w:color w:val="000000"/>
          <w:lang w:val="pt-BR"/>
        </w:rPr>
      </w:pPr>
      <w:r>
        <w:rPr>
          <w:color w:val="000000"/>
          <w:lang w:val="pt-BR"/>
        </w:rPr>
        <w:t>[36] Art. 10. Recibida la demanda inicial, el juez federal tomará las siguientes medidas: [...] III – designará una audiencia de mediación, a realizarse dentro de los 30 (treinta) días, cuando lo considere factible; y</w:t>
      </w:r>
    </w:p>
    <w:p w14:paraId="6BBD0960" w14:textId="77777777" w:rsidR="002C1B58" w:rsidRPr="00B06F4F" w:rsidRDefault="002C1B58">
      <w:pPr>
        <w:pStyle w:val="SFPd"/>
        <w:rPr>
          <w:color w:val="000000"/>
          <w:lang w:val="pt-BR"/>
        </w:rPr>
      </w:pPr>
      <w:r>
        <w:rPr>
          <w:color w:val="000000"/>
          <w:lang w:val="pt-BR"/>
        </w:rPr>
        <w:t>[37] Art. 334. Si la demanda inicial reúne los requisitos esenciales y no se da el caso de que inicialmente se desestime la solicitud, el juez designará una audiencia de conciliación o mediación con una antelación mínima de 30 (treinta) días, debiendo citarse al demandado con una antelación mínima de 20 (veinte) días.</w:t>
      </w:r>
    </w:p>
    <w:p w14:paraId="4E1D95F2" w14:textId="77777777" w:rsidR="002C1B58" w:rsidRPr="00B06F4F" w:rsidRDefault="002C1B58">
      <w:pPr>
        <w:pStyle w:val="SFPd"/>
        <w:rPr>
          <w:color w:val="000000"/>
          <w:lang w:val="pt-BR"/>
        </w:rPr>
      </w:pPr>
      <w:r>
        <w:rPr>
          <w:color w:val="000000"/>
          <w:lang w:val="pt-BR"/>
        </w:rPr>
        <w:t>[38] Art. 14. Si no se logra la mediación, el juez organizará y reorganizará continuamente el proceso, resolviendo todas las cuestiones previstas en el art. 357 del Código de Procedimiento Civil, y designará audiencia de investigación y juicio en un plazo no mayor a 30 (treinta) días.</w:t>
      </w:r>
    </w:p>
    <w:p w14:paraId="600E384F" w14:textId="77777777" w:rsidR="002C1B58" w:rsidRPr="00B06F4F" w:rsidRDefault="002C1B58">
      <w:pPr>
        <w:pStyle w:val="SFPd"/>
        <w:rPr>
          <w:color w:val="000000"/>
          <w:lang w:val="pt-BR"/>
        </w:rPr>
      </w:pPr>
      <w:r>
        <w:rPr>
          <w:color w:val="000000"/>
          <w:lang w:val="pt-BR"/>
        </w:rPr>
        <w:t xml:space="preserve">[39] § 6 Excepcionalmente, el plazo para la celebración de la audiencia de instrucción y de juicio podrá ampliarse hasta por 30 (treinta) días, a petición de las partes, o con el interés de producir pruebas esenciales.  </w:t>
      </w:r>
    </w:p>
    <w:p w14:paraId="1C930EE9" w14:textId="77777777" w:rsidR="002C1B58" w:rsidRPr="00B06F4F" w:rsidRDefault="002C1B58">
      <w:pPr>
        <w:pStyle w:val="SFPd"/>
        <w:rPr>
          <w:color w:val="000000"/>
          <w:lang w:val="pt-BR"/>
        </w:rPr>
      </w:pPr>
      <w:r>
        <w:rPr>
          <w:color w:val="000000"/>
          <w:lang w:val="pt-BR"/>
        </w:rPr>
        <w:t>[40] § 4 Una vez admitida la producción de prueba pericial, el juez nombrará un perito y fijará un cronograma para su realización, debiendo presentar el resultado sin demora en la fecha de la audiencia de instrucción y juicio.</w:t>
      </w:r>
    </w:p>
    <w:p w14:paraId="50AFBCD0" w14:textId="77777777" w:rsidR="002C1B58" w:rsidRPr="00B06F4F" w:rsidRDefault="002C1B58">
      <w:pPr>
        <w:pStyle w:val="SFPd"/>
        <w:rPr>
          <w:color w:val="000000"/>
          <w:lang w:val="pt-BR"/>
        </w:rPr>
      </w:pPr>
      <w:r>
        <w:rPr>
          <w:color w:val="000000"/>
          <w:lang w:val="pt-BR"/>
        </w:rPr>
        <w:t xml:space="preserve">[41] MAZZUOLI, Valério de Oliveira; MATTOS, Elsa de. Sustracción internacional de niños y no devolución por violencia doméstica cometida en </w:t>
      </w:r>
      <w:r>
        <w:rPr>
          <w:color w:val="000000"/>
          <w:lang w:val="pt-BR"/>
        </w:rPr>
        <w:lastRenderedPageBreak/>
        <w:t>el país de residencia. En: TARTUCE, Flávio; DELGADO, Mário Luiz (coord). Revista Nacional de Derecho de Familia y Sucesiones, v. 12, nº 67, julio/agosto 2025, págs. 66-72.</w:t>
      </w:r>
    </w:p>
    <w:p w14:paraId="00EB4BF0" w14:textId="77777777" w:rsidR="002C1B58" w:rsidRPr="00B06F4F" w:rsidRDefault="002C1B58">
      <w:pPr>
        <w:pStyle w:val="SFPd"/>
        <w:rPr>
          <w:color w:val="000000"/>
          <w:lang w:val="pt-BR"/>
        </w:rPr>
      </w:pPr>
      <w:r>
        <w:rPr>
          <w:color w:val="000000"/>
          <w:lang w:val="pt-BR"/>
        </w:rPr>
        <w:t>[42] En Chile las apelaciones se deciden en 3 meses. En Alemania sólo existe una instancia de apelación para los casos de La Haya (en otros casos hay dos instancias de apelación) y las apelaciones también se resuelven en un plazo de tres meses.</w:t>
      </w:r>
    </w:p>
    <w:p w14:paraId="5DCCD787" w14:textId="77777777" w:rsidR="002C1B58" w:rsidRPr="00B06F4F" w:rsidRDefault="002C1B58">
      <w:pPr>
        <w:pStyle w:val="SFPd"/>
        <w:rPr>
          <w:color w:val="000000"/>
          <w:lang w:val="pt-BR"/>
        </w:rPr>
      </w:pPr>
      <w:r>
        <w:rPr>
          <w:color w:val="000000"/>
          <w:lang w:val="pt-BR"/>
        </w:rPr>
        <w:t>[43] Los jueces de enlace desempeñan un papel esencial en la implementación de la cooperación internacional prevista en el tratado. Entre sus funciones se encuentran difundir buenas prácticas, aclarar dudas jurídicas sobre las implicaciones de la restitución del menor y del progenitor sustractor al Estado de residencia habitual, así como apoyar la comunicación judicial directa en casos concretos. HCCH – Conferencia de La Haya de Derecho Internacional Privado. Comunicaciones Judiciales Directas. Orientación emergente sobre el desarrollo de la Red Internacional de Jueces de La Haya y Principios Generales para las Comunicaciones Judiciales, incluidas salvaguardias comúnmente aceptadas para las Comunicaciones Judiciales Directas en casos específicos, dentro del contexto de la Red Internacional de Jueces de La Haya. HCCH: La Haya, 2013, pág. 7.</w:t>
      </w:r>
    </w:p>
    <w:p w14:paraId="16754FBB" w14:textId="77777777" w:rsidR="002C1B58" w:rsidRPr="00B06F4F" w:rsidRDefault="002C1B58">
      <w:pPr>
        <w:pStyle w:val="SFPd"/>
        <w:rPr>
          <w:color w:val="000000"/>
          <w:lang w:val="pt-BR"/>
        </w:rPr>
      </w:pPr>
      <w:r>
        <w:rPr>
          <w:color w:val="000000"/>
          <w:lang w:val="pt-BR"/>
        </w:rPr>
        <w:t xml:space="preserve">[44] Las comunicaciones directas entre magistrados de diferentes Estados, en el ámbito del Convenio de La Haya de 1980, deben realizarse con pleno respeto a la independencia judicial y a las normas del ordenamiento jurídico interno de cada país. Dichos diálogos son de carácter cooperativo y no probatorio y deben guiarse por los vectores de la transparencia, la previsibilidad y los fines informativos. Cualquier norma brasileña sobre comunicación directa entre jueces puede inspirarse en buenas prácticas internacionales y adoptar los siguientes parámetros rectores: a) los Jueces de Enlace, miembros de la Red Internacional de Jueces de La Haya, son responsables de recibir inicialmente las comunicaciones judiciales e iniciar o facilitar la comunicación entre los jueces responsables del caso, asegurando que el juez a contactar sea el responsable de recibir el caso en el exterior;  b) el juez a cargo del caso no está autorizado a contactar directamente con el juez de enlace extranjero, sin la intermediación de su homólogo nacional; c) este contacto inicial debe realizarse por escrito (correo electrónico), con la identificación del juez, nombre de las partes y naturaleza del caso, objeto de la comunicación, si las partes involucradas han consentido la comunicación entre los jueces; así como la indicación de preguntas específicas que el juez que inicia el contacto pretende que se le respondan;  d) es posible definir, de mutuo acuerdo, otro medio de comunicación, como el uso de videollamadas; e) salvo situaciones excepcionales, las partes deben ser informadas sobre la naturaleza y finalidad de la comunicación directa entre jueces; f) la comunicación directa no debe perjudicar la celeridad del procedimiento, debiendo los jueces evaluar el mejor momento para la comunicación y su </w:t>
      </w:r>
      <w:r>
        <w:rPr>
          <w:color w:val="000000"/>
          <w:lang w:val="pt-BR"/>
        </w:rPr>
        <w:lastRenderedPageBreak/>
        <w:t xml:space="preserve">adecuación. HCCH – Conferencia de La Haya de Derecho Internacional Privado. Comunicaciones Judiciales Directas. op. cit., pág. 12-13. </w:t>
      </w:r>
    </w:p>
    <w:p w14:paraId="2D807746" w14:textId="77777777" w:rsidR="002C1B58" w:rsidRPr="00B06F4F" w:rsidRDefault="002C1B58">
      <w:pPr>
        <w:pStyle w:val="SFPd"/>
        <w:rPr>
          <w:color w:val="000000"/>
          <w:lang w:val="pt-BR"/>
        </w:rPr>
      </w:pPr>
      <w:r>
        <w:rPr>
          <w:color w:val="000000"/>
          <w:lang w:val="pt-BR"/>
        </w:rPr>
        <w:t>[45] Según: SIFUENTES, Mônica; GAMA, Guilherme Calmon Nogueira da. Manual de aplicación del Convenio de La Haya de 1980. Brasilia: Consejo de la Justicia Federal – CJF, 2021, pág. 14.</w:t>
      </w:r>
    </w:p>
    <w:p w14:paraId="346C9711" w14:textId="77777777" w:rsidR="002C1B58" w:rsidRPr="00B06F4F" w:rsidRDefault="002C1B58">
      <w:pPr>
        <w:pStyle w:val="SFPd"/>
        <w:rPr>
          <w:color w:val="000000"/>
          <w:lang w:val="pt-BR"/>
        </w:rPr>
      </w:pPr>
      <w:r>
        <w:rPr>
          <w:color w:val="000000"/>
          <w:lang w:val="pt-BR"/>
        </w:rPr>
        <w:t>[46] Las acciones de Interpol para localizar niños no presuponen la existencia de una investigación policial o procesamiento penal del progenitor que promovió el traslado o retención ilícita del niño, basándose en la existencia de control sobre las personas desaparecidas debido a un registro gestionado por la Agencia Internacional. (SIFUENTES, Mônica; GAMA, Guilherme Calmon Nogueira da. Manual de Aplicación del Convenio de La Haya de 1980. Brasilia: Consejo de la Justicia Federal – CJF, 2021, pp. 15-16.)</w:t>
      </w:r>
    </w:p>
    <w:p w14:paraId="44EC2A76" w14:textId="77777777" w:rsidR="002C1B58" w:rsidRPr="00B06F4F" w:rsidRDefault="002C1B58">
      <w:pPr>
        <w:pStyle w:val="SFPd"/>
        <w:rPr>
          <w:color w:val="000000"/>
          <w:lang w:val="pt-BR"/>
        </w:rPr>
      </w:pPr>
      <w:r>
        <w:rPr>
          <w:color w:val="000000"/>
          <w:lang w:val="pt-BR"/>
        </w:rPr>
        <w:t>[47] Según información de la autoridad central brasileña, la conciliación promovida en el ámbito de ACAF no ha producido resultados sustanciales: "La conciliación promovida por ACAF/DRCI tiende a ser residual en comparación con la fuerza del Poder Judicial, frente a la autoridad judicial con el poder de determinar el retorno inmediato o la permanencia del niño en el país. Además, no hay personal capacitado para realizar conciliaciones (curso de conciliador), con el logro de una conciliación extremadamente episódica debido a la interferencia de ACAF/DRCI En el período de 2021 a 2024, solo un caso fue resuelto mediante intervención directa de ACAF/DRCI en 2023. Teniendo en cuenta solo los acuerdos extrajudiciales, la conciliación de ACAF/DRCI y los retornos voluntarios, se resolvieron 44 solicitudes pasivas, 22 casos de retorno voluntario, 7 casos de acuerdo extrajudicial de permanencia. 14 casos de acuerdo extrajudicial de retorno y 1 caso de conciliación”. ACAF. ADI 4245: NOTA TÉCNICA N° 4/2025/ACAF-Adm/DRCI/SENAJUS/MJ, ID: eabc0a5b, doc. 86, pág. 3.</w:t>
      </w:r>
    </w:p>
    <w:p w14:paraId="3325CF0E" w14:textId="77777777" w:rsidR="002C1B58" w:rsidRPr="00B06F4F" w:rsidRDefault="002C1B58">
      <w:pPr>
        <w:pStyle w:val="SFPd"/>
        <w:rPr>
          <w:color w:val="000000"/>
          <w:lang w:val="pt-BR"/>
        </w:rPr>
      </w:pPr>
      <w:r>
        <w:rPr>
          <w:color w:val="000000"/>
          <w:lang w:val="pt-BR"/>
        </w:rPr>
        <w:t>[48] A modo de ilustración, la metodología puede inspirarse en el modelo holandés: tres sesiones, de tres horas cada una, durante dos días; la primera sesión para conversaciones preliminares, la segunda sesión para buscar soluciones y redactar el acuerdo, la tercera sección en la que se finaliza el acuerdo con la firma de las partes.</w:t>
      </w:r>
    </w:p>
    <w:p w14:paraId="4C850BED" w14:textId="77777777" w:rsidR="002C1B58" w:rsidRPr="00B06F4F" w:rsidRDefault="002C1B58">
      <w:pPr>
        <w:pStyle w:val="SFPd"/>
        <w:rPr>
          <w:color w:val="000000"/>
          <w:lang w:val="pt-BR"/>
        </w:rPr>
      </w:pPr>
      <w:r>
        <w:rPr>
          <w:color w:val="000000"/>
          <w:lang w:val="pt-BR"/>
        </w:rPr>
        <w:t>[49] Conferencia de La Haya de Derecho Internacional Privado – HCCH. op. cit., pág. 37.</w:t>
      </w:r>
    </w:p>
    <w:p w14:paraId="272753A6" w14:textId="77777777" w:rsidR="002C1B58" w:rsidRPr="00B06F4F" w:rsidRDefault="002C1B58">
      <w:pPr>
        <w:pStyle w:val="SFPd"/>
        <w:rPr>
          <w:color w:val="000000"/>
          <w:lang w:val="pt-BR"/>
        </w:rPr>
      </w:pPr>
      <w:r>
        <w:rPr>
          <w:color w:val="000000"/>
          <w:lang w:val="pt-BR"/>
        </w:rPr>
        <w:t>[50] Artículo 13 Sin perjuicio de lo dispuesto en el artículo anterior, la autoridad judicial o administrativa del Estado demandado no está obligada a ordenar la restitución del niño si la persona, institución u organismo que se opone a su restitución prueba: a) que la persona, institución u organismo que tenía al cuidado del niño no ejerció efectivamente el derecho de custodia al momento del traslado o retención, o que posteriormente había consentido o acordado dicho traslado o retención; o b) que existe un riesgo grave de que el niño, al regresar, sea sometido a un peligro físico o mental o, de cualquier otra forma, quede en una situación intolerable.</w:t>
      </w:r>
    </w:p>
    <w:p w14:paraId="2AC0C4E6" w14:textId="77777777" w:rsidR="002C1B58" w:rsidRPr="00B06F4F" w:rsidRDefault="002C1B58">
      <w:pPr>
        <w:pStyle w:val="SFPd"/>
        <w:rPr>
          <w:color w:val="000000"/>
          <w:lang w:val="pt-BR"/>
        </w:rPr>
      </w:pPr>
      <w:r>
        <w:rPr>
          <w:color w:val="000000"/>
          <w:lang w:val="pt-BR"/>
        </w:rPr>
        <w:lastRenderedPageBreak/>
        <w:t>[51] Conferencia de La Haya de Derecho Internacional Privado – HCCH. op. cit., pág. 25.</w:t>
      </w:r>
    </w:p>
    <w:p w14:paraId="404E6ADF" w14:textId="77777777" w:rsidR="002C1B58" w:rsidRDefault="002C1B58">
      <w:pPr>
        <w:pStyle w:val="SFPd"/>
        <w:rPr>
          <w:color w:val="000000"/>
        </w:rPr>
      </w:pPr>
      <w:r>
        <w:rPr>
          <w:color w:val="000000"/>
        </w:rPr>
        <w:t>[52] ADI 4.245, ID: ee93d862, doc. 85, pág. 7.</w:t>
      </w:r>
    </w:p>
    <w:p w14:paraId="1B66B326" w14:textId="77777777" w:rsidR="002C1B58" w:rsidRPr="00B06F4F" w:rsidRDefault="002C1B58">
      <w:pPr>
        <w:pStyle w:val="SFPd"/>
        <w:rPr>
          <w:color w:val="000000"/>
          <w:lang w:val="pt-BR"/>
        </w:rPr>
      </w:pPr>
      <w:r>
        <w:rPr>
          <w:color w:val="000000"/>
          <w:lang w:val="pt-BR"/>
        </w:rPr>
        <w:t>[53] Conferencia de La Haya de Derecho Internacional Privado – HCCH. op. cit., págs. 31-33.</w:t>
      </w:r>
    </w:p>
    <w:p w14:paraId="4DF36CE1" w14:textId="77777777" w:rsidR="002C1B58" w:rsidRPr="00032AAE" w:rsidRDefault="002C1B58">
      <w:pPr>
        <w:pStyle w:val="SFPd"/>
        <w:rPr>
          <w:color w:val="000000"/>
          <w:lang w:val="en-US"/>
        </w:rPr>
      </w:pPr>
      <w:r>
        <w:rPr>
          <w:color w:val="000000"/>
          <w:lang w:val="en-US"/>
        </w:rPr>
        <w:t>[54] Este estándar probatorio también es demandado por la legislación norteamericana (Ley Internacional de Remedios para la Sustracción de Menores (ICARA): "pruebas claras y convincentes" de que "existe un riesgo grave de que su regreso exponga al niño a daños físicos o psicológicos o lo coloque de otro modo en una situación intolerable".</w:t>
      </w:r>
    </w:p>
    <w:p w14:paraId="0EA4D6CC" w14:textId="77777777" w:rsidR="002C1B58" w:rsidRPr="00B06F4F" w:rsidRDefault="002C1B58">
      <w:pPr>
        <w:pStyle w:val="SFPd"/>
        <w:rPr>
          <w:color w:val="000000"/>
          <w:lang w:val="pt-BR"/>
        </w:rPr>
      </w:pPr>
      <w:r>
        <w:rPr>
          <w:color w:val="000000"/>
          <w:lang w:val="pt-BR"/>
        </w:rPr>
        <w:t>[55] Conferencia de La Haya de Derecho Internacional Privado – HCCH. op. cit., págs. 31-33.</w:t>
      </w:r>
    </w:p>
    <w:p w14:paraId="64D10887" w14:textId="77777777" w:rsidR="002C1B58" w:rsidRPr="00B06F4F" w:rsidRDefault="002C1B58">
      <w:pPr>
        <w:pStyle w:val="SFPd"/>
        <w:rPr>
          <w:color w:val="000000"/>
          <w:lang w:val="pt-BR"/>
        </w:rPr>
      </w:pPr>
      <w:r>
        <w:rPr>
          <w:color w:val="000000"/>
          <w:lang w:val="en-US"/>
        </w:rPr>
        <w:t>[56] Estudio multinacional de la OMS sobre la salud de las mujeres y la violencia doméstica contra las mujeres Resultados iniciales sobre prevalencia, resultados de salud y respuestas de las mujeres. Disponible en: https://iris.who.int/bitstream/handle/10665/43310/9241593512_eng.pdf?sequence=1</w:t>
      </w:r>
    </w:p>
    <w:p w14:paraId="42411AA1" w14:textId="77777777" w:rsidR="002C1B58" w:rsidRPr="00B06F4F" w:rsidRDefault="002C1B58">
      <w:pPr>
        <w:pStyle w:val="SFPd"/>
        <w:rPr>
          <w:color w:val="000000"/>
          <w:lang w:val="pt-BR"/>
        </w:rPr>
      </w:pPr>
      <w:r>
        <w:rPr>
          <w:color w:val="000000"/>
          <w:lang w:val="en-US"/>
        </w:rPr>
        <w:t>[57] ANGLADE, Booz; ESCOBAR, Julia. Efecto de la violencia contra las mujeres en las víctimas y sus hijos: evidencia de Centroamérica, República Dominicana y Haití”, Banco Interamericano de Desarrollo (BID), Nota Técnica No. IDB-TN-2139, marzo de 2021 Disponible en: https://publications.iadb.org/publications/english/document/Effect-of-Violence-against-Women-on-Victims-and-their-Children-Evidence-from-Central-America-the-Dominican-Republic-and-Haiti.pdf</w:t>
      </w:r>
    </w:p>
    <w:p w14:paraId="56A7686E" w14:textId="77777777" w:rsidR="002C1B58" w:rsidRPr="00032AAE" w:rsidRDefault="002C1B58">
      <w:pPr>
        <w:pStyle w:val="SFPd"/>
        <w:rPr>
          <w:color w:val="000000"/>
          <w:lang w:val="en-US"/>
        </w:rPr>
      </w:pPr>
      <w:r>
        <w:rPr>
          <w:color w:val="000000"/>
          <w:lang w:val="en-US"/>
        </w:rPr>
        <w:t>[58] Intersecciones entre la violencia contra los niños y la violencia contra las mujeres: prioridades de investigación globales. Ginebra: Organización Mundial de la Salud; 2024 Disponible en: https://iris.who.int/bitstream/handle/10665/376247/9789240089105-eng.pdf?sequence=1</w:t>
      </w:r>
    </w:p>
    <w:p w14:paraId="6F5E2AE9" w14:textId="77777777" w:rsidR="002C1B58" w:rsidRPr="00B06F4F" w:rsidRDefault="002C1B58">
      <w:pPr>
        <w:pStyle w:val="SFPd"/>
        <w:rPr>
          <w:color w:val="000000"/>
          <w:lang w:val="pt-BR"/>
        </w:rPr>
      </w:pPr>
      <w:r>
        <w:rPr>
          <w:color w:val="000000"/>
          <w:lang w:val="en-US"/>
        </w:rPr>
        <w:t>[59] Fondo de las Naciones Unidas para la Infancia, Un rostro familiar: la violencia en la vida de los niños y adolescentes, UNICEF, Nueva York, 2017. p. 19. Disponible en: https://www.unicef.org/media/48671/file/Violence_in_the_lives_of_children_and_adolescents.pdf</w:t>
      </w:r>
    </w:p>
    <w:p w14:paraId="0AA11C84" w14:textId="77777777" w:rsidR="002C1B58" w:rsidRPr="00B06F4F" w:rsidRDefault="002C1B58">
      <w:pPr>
        <w:pStyle w:val="SFPd"/>
        <w:rPr>
          <w:color w:val="000000"/>
          <w:lang w:val="pt-BR"/>
        </w:rPr>
      </w:pPr>
      <w:r>
        <w:rPr>
          <w:color w:val="000000"/>
          <w:lang w:val="pt-BR"/>
        </w:rPr>
        <w:t>[60] RODRIGUES, Carmen Beatriz de Lemos Tiburcio. El Convenio de La Haya de 1980 sobre los Aspectos Civiles de la Sustracción Internacional de Menores: conceptos fundamentales, finalidad y obstáculos al retorno. Revista AGU: 30 años de Abogacía General de la Unión. Brasilia-DF, v. 22 - n. 04 - Dic/2023, págs. 176-177.</w:t>
      </w:r>
    </w:p>
    <w:p w14:paraId="61CFAEC5" w14:textId="77777777" w:rsidR="002C1B58" w:rsidRDefault="002C1B58">
      <w:pPr>
        <w:pStyle w:val="SFPd"/>
        <w:rPr>
          <w:color w:val="000000"/>
        </w:rPr>
      </w:pPr>
      <w:r>
        <w:rPr>
          <w:color w:val="000000"/>
        </w:rPr>
        <w:t xml:space="preserve">[61] “[...] 182. La Sala considera que, debido a la situación de violencia de género de la persona que fue víctima del detonante, la decisión de restituir internacionalmente a la menor de edad pone en grave peligro el interés superior de la niña, en particular, por la exposición a situaciones de violencia </w:t>
      </w:r>
      <w:r>
        <w:rPr>
          <w:color w:val="000000"/>
        </w:rPr>
        <w:lastRenderedPageBreak/>
        <w:t>contra su madre por parte de su sacerdote.[...]”. (https://www.ramajudicial.gov.co/documents/150922820/0/T-275-23.pdf/63486988-cfba-f4d1-a083-93241b6f060a?t=1734544405651)</w:t>
      </w:r>
    </w:p>
    <w:p w14:paraId="7770ABF5" w14:textId="77777777" w:rsidR="002C1B58" w:rsidRDefault="002C1B58">
      <w:pPr>
        <w:pStyle w:val="SFPd"/>
        <w:rPr>
          <w:color w:val="000000"/>
        </w:rPr>
      </w:pPr>
      <w:r>
        <w:rPr>
          <w:color w:val="000000"/>
        </w:rPr>
        <w:t xml:space="preserve">[62] https://www.corteconstitucional.gov.co/relatoria/2024/t-291-24.htm?utm </w:t>
      </w:r>
    </w:p>
    <w:p w14:paraId="3881C187" w14:textId="77777777" w:rsidR="002C1B58" w:rsidRDefault="002C1B58">
      <w:pPr>
        <w:pStyle w:val="SFPd"/>
        <w:rPr>
          <w:color w:val="000000"/>
        </w:rPr>
      </w:pPr>
      <w:r>
        <w:rPr>
          <w:color w:val="000000"/>
        </w:rPr>
        <w:t xml:space="preserve">[63] https://www.corteconstitucional.gov.co/relatoria/2024/t-516-24.htm?utm </w:t>
      </w:r>
    </w:p>
    <w:p w14:paraId="64EA24B1" w14:textId="77777777" w:rsidR="002C1B58" w:rsidRPr="00B06F4F" w:rsidRDefault="002C1B58">
      <w:pPr>
        <w:pStyle w:val="SFPd"/>
        <w:rPr>
          <w:color w:val="000000"/>
          <w:lang w:val="pt-BR"/>
        </w:rPr>
      </w:pPr>
      <w:r>
        <w:rPr>
          <w:color w:val="000000"/>
          <w:lang w:val="pt-BR"/>
        </w:rPr>
        <w:t>[64] Según lo establecido en la Recomendación General No. 19 del Comité para la Eliminación de Todas las Formas de Discriminación contra la Mujer (CEDAW).</w:t>
      </w:r>
    </w:p>
    <w:p w14:paraId="058E938A" w14:textId="77777777" w:rsidR="002C1B58" w:rsidRPr="00B06F4F" w:rsidRDefault="002C1B58">
      <w:pPr>
        <w:pStyle w:val="SFPd"/>
        <w:rPr>
          <w:color w:val="000000"/>
          <w:lang w:val="pt-BR"/>
        </w:rPr>
      </w:pPr>
      <w:r>
        <w:rPr>
          <w:color w:val="000000"/>
          <w:lang w:val="pt-BR"/>
        </w:rPr>
        <w:t>[65] Consejo Nacional de Justicia – CNJ. Protocolo para juzgar con perspectiva de género. Brasilia: Escuela Nacional de Formación y Perfeccionamiento de Magistrados — ENFAM, 2021, p. 32.</w:t>
      </w:r>
    </w:p>
    <w:p w14:paraId="49BEC490" w14:textId="77777777" w:rsidR="002C1B58" w:rsidRPr="00B06F4F" w:rsidRDefault="002C1B58">
      <w:pPr>
        <w:pStyle w:val="SFPd"/>
        <w:rPr>
          <w:color w:val="000000"/>
          <w:lang w:val="pt-BR"/>
        </w:rPr>
      </w:pPr>
      <w:r>
        <w:rPr>
          <w:color w:val="000000"/>
          <w:lang w:val="pt-BR"/>
        </w:rPr>
        <w:t xml:space="preserve">[66] Los Objetivos Nacionales del Poder Judicial representan el compromiso de las juezas y juezas de actuar sistemáticamente sobre el acervo procesal de la Justicia y sobre temas prioritarios, como la lucha contra la violencia doméstica.  La Meta 8 de 2025 consiste en “Priorizar el juzgamiento de casos relacionados con feminicidio y violencia doméstica y familiar contra las mujeres (STJ y Justicia Estadual) Identificar y juzgar, al 31/12/2025: (i) Superior Tribunal de Justicia: 100% de los casos de feminicidio y violencia doméstica y familiar contra las mujeres distribuidos al 31/12/2023. (ii) Justicia Estadual: 75% de casos de feminicidio distribuidos al 31/12/2023 y 90% de casos de violencia doméstica y familiar contra mujeres distribuidos al 31/12/2023”. </w:t>
      </w:r>
    </w:p>
    <w:p w14:paraId="3687A154" w14:textId="77777777" w:rsidR="002C1B58" w:rsidRPr="00B06F4F" w:rsidRDefault="002C1B58">
      <w:pPr>
        <w:pStyle w:val="SFPd"/>
        <w:rPr>
          <w:color w:val="000000"/>
          <w:lang w:val="pt-BR"/>
        </w:rPr>
      </w:pPr>
      <w:r>
        <w:rPr>
          <w:color w:val="000000"/>
          <w:lang w:val="pt-BR"/>
        </w:rPr>
        <w:t xml:space="preserve">[67] Consejo Nacional de Justicia, Protocolo para juzgar con perspectiva de género. Brasilia: Consejo Nacional de Justicia – CNJ; Escuela Nacional de Formación y Perfeccionamiento de Magistrados — Enfam, 2021. </w:t>
      </w:r>
    </w:p>
    <w:p w14:paraId="0C44E544" w14:textId="77777777" w:rsidR="002C1B58" w:rsidRPr="00B06F4F" w:rsidRDefault="002C1B58">
      <w:pPr>
        <w:pStyle w:val="SFPd"/>
        <w:rPr>
          <w:color w:val="000000"/>
          <w:lang w:val="pt-BR"/>
        </w:rPr>
      </w:pPr>
      <w:r>
        <w:rPr>
          <w:color w:val="000000"/>
          <w:lang w:val="en-US"/>
        </w:rPr>
        <w:t>[68] MASTERTON, Gina; RATHUS, Zoé; INUNDACIÓN, Juan; TRANTER, Kieran. Ser “Hagueed”: cómo el uso de la Convención de La Haya como arma perjudica a las mujeres. Documento informativo del Centro QUT para la Justicia, n.º 25, mayo de 2022, pág. 2. Disponible en: https://research.qut.edu.au/centre-for-justice/wp-content/uploads/sites/304/2022/05/Briefing-Paper-25-Masterton-FINAL.pdf. Consultado el 15/03/2023.</w:t>
      </w:r>
    </w:p>
    <w:p w14:paraId="4A1C1BB3" w14:textId="77777777" w:rsidR="002C1B58" w:rsidRPr="00032AAE" w:rsidRDefault="002C1B58">
      <w:pPr>
        <w:pStyle w:val="SFPd"/>
        <w:rPr>
          <w:color w:val="000000"/>
          <w:lang w:val="en-US"/>
        </w:rPr>
      </w:pPr>
      <w:r>
        <w:rPr>
          <w:color w:val="000000"/>
          <w:lang w:val="en-US"/>
        </w:rPr>
        <w:t>[69] Ídem, pág. 4.</w:t>
      </w:r>
    </w:p>
    <w:p w14:paraId="335F6C22" w14:textId="77777777" w:rsidR="002C1B58" w:rsidRPr="00B06F4F" w:rsidRDefault="002C1B58">
      <w:pPr>
        <w:pStyle w:val="SFPd"/>
        <w:rPr>
          <w:color w:val="000000"/>
          <w:lang w:val="pt-BR"/>
        </w:rPr>
      </w:pPr>
      <w:r>
        <w:rPr>
          <w:color w:val="000000"/>
          <w:lang w:val="en-US"/>
        </w:rPr>
        <w:t xml:space="preserve">[70] KING, Shani M.. La Convención de La Haya y la violencia doméstica: propuestas para equilibrar las políticas de desalentar la sustracción de niños y proteger a los niños de la violencia doméstica. Publicaciones de la Facultad de Derecho de EE. UU. 47 Familia. L. Q 299. Disponible en http://scholarship.law.ufl.edu/facultypub/625. Consultado el 15/03/2023.  </w:t>
      </w:r>
    </w:p>
    <w:p w14:paraId="6EC4207A" w14:textId="77777777" w:rsidR="002C1B58" w:rsidRPr="00B06F4F" w:rsidRDefault="002C1B58">
      <w:pPr>
        <w:pStyle w:val="SFPd"/>
        <w:rPr>
          <w:color w:val="000000"/>
          <w:lang w:val="pt-BR"/>
        </w:rPr>
      </w:pPr>
      <w:r>
        <w:rPr>
          <w:color w:val="000000"/>
          <w:lang w:val="pt-BR"/>
        </w:rPr>
        <w:t xml:space="preserve">[71] Como sigue: "La CE acogió con satisfacción la publicación de la Guía de buenas prácticas sobre el Convenio sobre sustracción de menores: Parte VI, sobre el artículo 13(1)(b), y alentó su difusión. El Comité de Supervisión, </w:t>
      </w:r>
      <w:r>
        <w:rPr>
          <w:color w:val="000000"/>
          <w:lang w:val="pt-BR"/>
        </w:rPr>
        <w:lastRenderedPageBreak/>
        <w:t xml:space="preserve">destacando que la Guía debería leerse en su totalidad, señaló que, como se menciona en el párrafo 33, "el daño causado a un padre, ya sea físico o psicológico, puede, en algunas circunstancias excepcionales, crear un riesgo grave de que la restitución exponga al niño. causar daño físico o psicológico o colocar al niño en una situación intolerable. La excepción prevista en el n. 1, apartado b) del art. 13 no exige, por ejemplo, que el niño sea la víctima directa o principal de daño físico si hay pruebas suficientes de que, debido al riesgo de daño dirigido a uno de los padres en el país anfitrión, existe un riesgo grave para el niño. </w:t>
      </w:r>
    </w:p>
    <w:p w14:paraId="751ED723" w14:textId="77777777" w:rsidR="002C1B58" w:rsidRPr="00B06F4F" w:rsidRDefault="002C1B58">
      <w:pPr>
        <w:pStyle w:val="SFPd"/>
        <w:rPr>
          <w:color w:val="000000"/>
          <w:lang w:val="pt-BR"/>
        </w:rPr>
      </w:pPr>
      <w:r>
        <w:rPr>
          <w:color w:val="000000"/>
          <w:lang w:val="pt-BR"/>
        </w:rPr>
        <w:t>[72] Consejo Nacional de Justicia – CNJ. Protocolo para juzgar con perspectiva de género. Brasilia: Escuela Nacional de Formación y Perfeccionamiento de Magistrados — ENFAM, 2021, págs. 43-44.</w:t>
      </w:r>
    </w:p>
    <w:p w14:paraId="3B304C6E" w14:textId="77777777" w:rsidR="002C1B58" w:rsidRPr="00B06F4F" w:rsidRDefault="002C1B58">
      <w:pPr>
        <w:pStyle w:val="SFPd"/>
        <w:rPr>
          <w:color w:val="000000"/>
          <w:lang w:val="pt-BR"/>
        </w:rPr>
      </w:pPr>
      <w:r>
        <w:rPr>
          <w:color w:val="000000"/>
          <w:lang w:val="pt-BR"/>
        </w:rPr>
        <w:t xml:space="preserve">[73] ADI 4245: NOTA TÉCNICA N° 4/2025/ACAF-Adm/DRCI/SENAJUS/MJ, ID: 36ea2629, p. 3-4. </w:t>
      </w:r>
    </w:p>
    <w:p w14:paraId="46F0F565" w14:textId="77777777" w:rsidR="002C1B58" w:rsidRPr="00B06F4F" w:rsidRDefault="002C1B58">
      <w:pPr>
        <w:pStyle w:val="SFPd"/>
        <w:rPr>
          <w:color w:val="000000"/>
          <w:lang w:val="pt-BR"/>
        </w:rPr>
      </w:pPr>
      <w:r>
        <w:rPr>
          <w:color w:val="000000"/>
          <w:lang w:val="pt-BR"/>
        </w:rPr>
        <w:t xml:space="preserve">[74] ADI 4245: NOTA n. 00223/2025/PGU/AGU, Cédula: 8e584b6c, doc. 88, pág. 3. </w:t>
      </w:r>
    </w:p>
    <w:p w14:paraId="250310F0" w14:textId="77777777" w:rsidR="002C1B58" w:rsidRPr="00B06F4F" w:rsidRDefault="002C1B58">
      <w:pPr>
        <w:pStyle w:val="SFPd"/>
        <w:rPr>
          <w:color w:val="000000"/>
          <w:lang w:val="pt-BR"/>
        </w:rPr>
      </w:pPr>
      <w:r>
        <w:rPr>
          <w:color w:val="000000"/>
          <w:lang w:val="pt-BR"/>
        </w:rPr>
        <w:t>[75] Art. 1.584. La custodia, unilateral o compartida, podrá ser: [...] § 2 Cuando no exista acuerdo entre la madre y el padre sobre la custodia del niño, y ambos padres puedan ejercer el poder familiar, se aplicará la custodia compartida, a menos que uno de los padres declare al juez que no desea tener la custodia del niño o adolescente o cuando existan elementos que demuestren la probabilidad de riesgo de violencia doméstica o familiar.</w:t>
      </w:r>
    </w:p>
    <w:p w14:paraId="01AD9A96" w14:textId="77777777" w:rsidR="002C1B58" w:rsidRDefault="002C1B58">
      <w:pPr>
        <w:pStyle w:val="SFPd"/>
        <w:rPr>
          <w:color w:val="000000"/>
        </w:rPr>
      </w:pPr>
      <w:r>
        <w:rPr>
          <w:color w:val="000000"/>
        </w:rPr>
        <w:t xml:space="preserve">[76] TARUFFO, Michele. La prueba. Madrid: Marcial Pons, 2008, pág. 60. </w:t>
      </w:r>
    </w:p>
    <w:p w14:paraId="7C102655" w14:textId="77777777" w:rsidR="002C1B58" w:rsidRPr="00B06F4F" w:rsidRDefault="002C1B58">
      <w:pPr>
        <w:pStyle w:val="SFPd"/>
        <w:rPr>
          <w:color w:val="000000"/>
          <w:lang w:val="pt-BR"/>
        </w:rPr>
      </w:pPr>
      <w:r>
        <w:rPr>
          <w:color w:val="000000"/>
        </w:rPr>
        <w:t>[77] ABELLÁN, M. Gascón. Los hechos en el derecho: argumentos bases de la prueba. Madrid: Marcial Pons, 2010, pág. 94.</w:t>
      </w:r>
    </w:p>
    <w:p w14:paraId="129B93C7" w14:textId="77777777" w:rsidR="002C1B58" w:rsidRPr="00B06F4F" w:rsidRDefault="002C1B58">
      <w:pPr>
        <w:pStyle w:val="SFPd"/>
        <w:rPr>
          <w:color w:val="000000"/>
          <w:lang w:val="pt-BR"/>
        </w:rPr>
      </w:pPr>
      <w:r>
        <w:rPr>
          <w:color w:val="000000"/>
          <w:lang w:val="pt-BR"/>
        </w:rPr>
        <w:t>[78] Artículo 1 El objetivo del presente Convenio es: a) garantizar el retorno inmediato de los niños trasladados ilegalmente a cualquier Estado contratante o detenidos indebidamente en él;</w:t>
      </w:r>
    </w:p>
    <w:p w14:paraId="7580FE4D" w14:textId="77777777" w:rsidR="002C1B58" w:rsidRPr="00B06F4F" w:rsidRDefault="002C1B58">
      <w:pPr>
        <w:pStyle w:val="SFPd"/>
        <w:rPr>
          <w:color w:val="000000"/>
          <w:lang w:val="pt-BR"/>
        </w:rPr>
      </w:pPr>
      <w:r>
        <w:rPr>
          <w:color w:val="000000"/>
          <w:lang w:val="pt-BR"/>
        </w:rPr>
        <w:t>Artículo 7 Las autoridades centrales cooperarán entre sí y promoverán la colaboración entre las autoridades competentes de sus respectivos Estados, a fin de garantizar el retorno inmediato de los niños y lograr los demás objetivos de esta Convención. [...]</w:t>
      </w:r>
    </w:p>
    <w:p w14:paraId="70A8B4F9" w14:textId="77777777" w:rsidR="002C1B58" w:rsidRPr="00B06F4F" w:rsidRDefault="002C1B58">
      <w:pPr>
        <w:pStyle w:val="SFPd"/>
        <w:rPr>
          <w:color w:val="000000"/>
          <w:lang w:val="pt-BR"/>
        </w:rPr>
      </w:pPr>
      <w:r>
        <w:rPr>
          <w:color w:val="000000"/>
          <w:lang w:val="pt-BR"/>
        </w:rPr>
        <w:t>Artículo 11 Las autoridades judiciales o administrativas de los Estados contratantes adoptarán medidas urgentes con vistas a la restitución del niño. Si la autoridad judicial o administrativa respectiva no ha tomado una decisión dentro de las 6 semanas siguientes a la fecha en que le fue presentada la solicitud, el solicitante o la Autoridad Central del Estado demandado, por propia iniciativa o a solicitud de la Autoridad Central del Estado requirente, podrá solicitar una declaración sobre los motivos de la demora. Si la Autoridad Central del Estado demandado recibe la respuesta, esta autoridad deberá transmitirla a la Autoridad Central del Estado requirente o, en su caso, al propio solicitante.</w:t>
      </w:r>
    </w:p>
    <w:p w14:paraId="1333AEF8" w14:textId="77777777" w:rsidR="002C1B58" w:rsidRPr="00B06F4F" w:rsidRDefault="002C1B58">
      <w:pPr>
        <w:pStyle w:val="SFPd"/>
        <w:rPr>
          <w:color w:val="000000"/>
          <w:lang w:val="pt-BR"/>
        </w:rPr>
      </w:pPr>
      <w:r>
        <w:rPr>
          <w:color w:val="000000"/>
          <w:lang w:val="pt-BR"/>
        </w:rPr>
        <w:t xml:space="preserve">Artículo 18. Las disposiciones de este Capítulo no limitan la facultad de </w:t>
      </w:r>
      <w:r>
        <w:rPr>
          <w:color w:val="000000"/>
          <w:lang w:val="pt-BR"/>
        </w:rPr>
        <w:lastRenderedPageBreak/>
        <w:t>las autoridades judiciales o administrativas para ordenar la restitución del niño en cualquier momento.</w:t>
      </w:r>
    </w:p>
    <w:p w14:paraId="40CC12F8" w14:textId="77777777" w:rsidR="002C1B58" w:rsidRPr="00B06F4F" w:rsidRDefault="002C1B58">
      <w:pPr>
        <w:pStyle w:val="SFPd"/>
        <w:rPr>
          <w:color w:val="000000"/>
          <w:lang w:val="pt-BR"/>
        </w:rPr>
      </w:pPr>
      <w:r>
        <w:rPr>
          <w:color w:val="000000"/>
          <w:lang w:val="pt-BR"/>
        </w:rPr>
        <w:t>[79] La citada Resolución N° 449/22 de la CNJ, perfeccionó el sistema que anteriormente había sido previsto en el ámbito de la Resolución N° 257/18 de la CNJ.</w:t>
      </w:r>
    </w:p>
    <w:p w14:paraId="70009ABE" w14:textId="77777777" w:rsidR="002C1B58" w:rsidRPr="00B06F4F" w:rsidRDefault="002C1B58">
      <w:pPr>
        <w:pStyle w:val="SFPd"/>
        <w:rPr>
          <w:color w:val="000000"/>
          <w:lang w:val="pt-BR"/>
        </w:rPr>
      </w:pPr>
      <w:r>
        <w:rPr>
          <w:color w:val="000000"/>
          <w:lang w:val="pt-BR"/>
        </w:rPr>
        <w:t>[80] Artículo 12. 1. Cuando un niño haya sido trasladado o retenido ilegalmente de conformidad con el artículo 3 y haya transcurrido un período inferior a 1 año entre la fecha del traslado o retención ilícitos y la fecha de inicio del procedimiento ante la autoridad judicial o administrativa del Estado Contratante en el que se encuentre el niño, la autoridad respectiva ordenará la restitución inmediata del niño.</w:t>
      </w:r>
    </w:p>
    <w:p w14:paraId="623D6561" w14:textId="77777777" w:rsidR="002C1B58" w:rsidRPr="00B06F4F" w:rsidRDefault="002C1B58">
      <w:pPr>
        <w:pStyle w:val="SFPd"/>
        <w:rPr>
          <w:color w:val="000000"/>
          <w:lang w:val="pt-BR"/>
        </w:rPr>
      </w:pPr>
      <w:r>
        <w:rPr>
          <w:color w:val="000000"/>
          <w:lang w:val="pt-BR"/>
        </w:rPr>
        <w:t>2. La autoridad judicial o administrativa respectiva, incluso transcurrido el plazo de un año a que se refiere el párrafo anterior, deberá ordenar la restitución del niño, salvo que se pruebe que el niño ya se encuentra integrado a su nuevo entorno.</w:t>
      </w:r>
    </w:p>
    <w:p w14:paraId="68672BE7" w14:textId="77777777" w:rsidR="002C1B58" w:rsidRPr="00B06F4F" w:rsidRDefault="002C1B58">
      <w:pPr>
        <w:pStyle w:val="SFPd"/>
        <w:rPr>
          <w:color w:val="000000"/>
          <w:lang w:val="pt-BR"/>
        </w:rPr>
      </w:pPr>
      <w:r>
        <w:rPr>
          <w:color w:val="000000"/>
          <w:lang w:val="pt-BR"/>
        </w:rPr>
        <w:t>3. Cuando la autoridad judicial o administrativa del Estado demandado tenga motivos para creer que el niño ha sido llevado a otro Estado, podrá suspender el proceso o rechazar la solicitud de restitución del niño.</w:t>
      </w:r>
    </w:p>
    <w:p w14:paraId="590C2BD0" w14:textId="77777777" w:rsidR="002C1B58" w:rsidRPr="00B06F4F" w:rsidRDefault="002C1B58">
      <w:pPr>
        <w:pStyle w:val="SFPd"/>
        <w:rPr>
          <w:color w:val="000000"/>
          <w:lang w:val="pt-BR"/>
        </w:rPr>
      </w:pPr>
      <w:r>
        <w:rPr>
          <w:color w:val="000000"/>
          <w:lang w:val="pt-BR"/>
        </w:rPr>
        <w:t>[81] Art. 14. [...] § 3 La prueba relativa a la adaptación del niño a Brasil es inadmisible si ha transcurrido menos de un año entre la fecha de la sustracción o retención ilícita y la recepción de la solicitud de cooperación jurídica internacional por la Autoridad Central brasileña, o el inicio del proceso judicial en el caso de que la demanda sea presentada por la persona dejada en el Estado de residencia habitual del niño, debidamente representada por un abogado.</w:t>
      </w:r>
    </w:p>
    <w:p w14:paraId="42F99DCF" w14:textId="77777777" w:rsidR="002C1B58" w:rsidRPr="00B06F4F" w:rsidRDefault="002C1B58">
      <w:pPr>
        <w:pStyle w:val="SFPd"/>
        <w:rPr>
          <w:color w:val="000000"/>
          <w:lang w:val="pt-BR"/>
        </w:rPr>
      </w:pPr>
      <w:r>
        <w:rPr>
          <w:color w:val="000000"/>
          <w:lang w:val="pt-BR"/>
        </w:rPr>
        <w:t>[82] Artículo 7. Las autoridades centrales cooperarán entre sí y promoverán la colaboración entre las autoridades competentes de sus respectivos Estados, a fin de asegurar la restitución inmediata de los niños y lograr los demás objetivos de esta Convención.</w:t>
      </w:r>
    </w:p>
    <w:p w14:paraId="7D27E078" w14:textId="77777777" w:rsidR="002C1B58" w:rsidRPr="00B06F4F" w:rsidRDefault="002C1B58">
      <w:pPr>
        <w:pStyle w:val="SFPd"/>
        <w:rPr>
          <w:color w:val="000000"/>
          <w:lang w:val="pt-BR"/>
        </w:rPr>
      </w:pPr>
      <w:r>
        <w:rPr>
          <w:color w:val="000000"/>
          <w:lang w:val="pt-BR"/>
        </w:rPr>
        <w:t>En particular, deberán adoptar, directamente o por interpuesta persona, todas las medidas apropiadas para: (...) f) iniciar o favorecer la apertura de procedimientos judiciales o administrativos encaminados a la restitución del menor o, en su caso, que permitan la organización o ejercicio efectivo de los derechos de visita;</w:t>
      </w:r>
    </w:p>
    <w:p w14:paraId="7DDB465D" w14:textId="77777777" w:rsidR="002C1B58" w:rsidRPr="00B06F4F" w:rsidRDefault="002C1B58">
      <w:pPr>
        <w:pStyle w:val="SFPd"/>
        <w:rPr>
          <w:color w:val="000000"/>
          <w:lang w:val="pt-BR"/>
        </w:rPr>
      </w:pPr>
      <w:r>
        <w:rPr>
          <w:color w:val="000000"/>
          <w:lang w:val="pt-BR"/>
        </w:rPr>
        <w:t>Artículo 21. 1. La solicitud que tenga por objeto la organización o protección del ejercicio efectivo del derecho de visita podrá dirigirse a la Autoridad Central de un Estado Contratante en las mismas condiciones que la solicitud encaminada a la restitución del menor.</w:t>
      </w:r>
    </w:p>
    <w:p w14:paraId="602757D7" w14:textId="77777777" w:rsidR="002C1B58" w:rsidRPr="00B06F4F" w:rsidRDefault="002C1B58">
      <w:pPr>
        <w:pStyle w:val="SFPd"/>
        <w:rPr>
          <w:color w:val="000000"/>
          <w:lang w:val="pt-BR"/>
        </w:rPr>
      </w:pPr>
      <w:r>
        <w:rPr>
          <w:color w:val="000000"/>
          <w:lang w:val="pt-BR"/>
        </w:rPr>
        <w:t xml:space="preserve">2. Las Autoridades Centrales son responsables, de conformidad con los deberes de cooperación establecidos en el artículo 7, de promover el ejercicio pacífico del derecho de visita, así como el cumplimiento de todas las condiciones esenciales para el ejercicio de este derecho. Las autoridades contractuales deberán tomar medidas para eliminar, en la medida de lo </w:t>
      </w:r>
      <w:r>
        <w:rPr>
          <w:color w:val="000000"/>
          <w:lang w:val="pt-BR"/>
        </w:rPr>
        <w:lastRenderedPageBreak/>
        <w:t>posible, todos los obstáculos al ejercicio de este mismo derecho.</w:t>
      </w:r>
    </w:p>
    <w:p w14:paraId="6061CF43" w14:textId="77777777" w:rsidR="002C1B58" w:rsidRPr="00B06F4F" w:rsidRDefault="002C1B58">
      <w:pPr>
        <w:pStyle w:val="SFPd"/>
        <w:rPr>
          <w:color w:val="000000"/>
          <w:lang w:val="pt-BR"/>
        </w:rPr>
      </w:pPr>
      <w:r>
        <w:rPr>
          <w:color w:val="000000"/>
          <w:lang w:val="pt-BR"/>
        </w:rPr>
        <w:t>3. Las Autoridades Centrales podrán, directamente o a través de intermediarios, iniciar o facilitar procedimientos judiciales con el objetivo de organizar o proteger el derecho de visita y garantizar el cumplimiento de las condiciones a las que está sujeto el ejercicio de este derecho.</w:t>
      </w:r>
    </w:p>
    <w:p w14:paraId="2359165B" w14:textId="77777777" w:rsidR="002C1B58" w:rsidRPr="00B06F4F" w:rsidRDefault="002C1B58">
      <w:pPr>
        <w:pStyle w:val="SFPd"/>
        <w:rPr>
          <w:color w:val="000000"/>
          <w:lang w:val="pt-BR"/>
        </w:rPr>
      </w:pPr>
      <w:r>
        <w:rPr>
          <w:color w:val="000000"/>
          <w:lang w:val="pt-BR"/>
        </w:rPr>
        <w:t>[83] Art. 15. Corresponde a la Dirección de Recuperación de Activos y Cooperación Jurídica Internacional:</w:t>
      </w:r>
    </w:p>
    <w:p w14:paraId="2BBB72CF" w14:textId="77777777" w:rsidR="002C1B58" w:rsidRPr="00B06F4F" w:rsidRDefault="002C1B58">
      <w:pPr>
        <w:pStyle w:val="SFPd"/>
        <w:rPr>
          <w:color w:val="000000"/>
          <w:lang w:val="pt-BR"/>
        </w:rPr>
      </w:pPr>
      <w:r>
        <w:rPr>
          <w:color w:val="000000"/>
          <w:lang w:val="pt-BR"/>
        </w:rPr>
        <w:t>I - articular, integrar y proponer acciones entre los órganos de los Poderes Ejecutivo, Judicial y el Ministerio Público para combatir la corrupción, el lavado de dinero y el crimen organizado transnacional, incluso en el ámbito de Enccla; II - coordinar la Red Nacional de Laboratorios de Tecnología Contra el Lavado de Dinero - Rede-Lab; III - estructurar, implementar y monitorear las acciones del Gobierno y promover la coordinación entre los órganos de los Poderes Ejecutivo, Judicial y el Ministerio Público en las siguientes áreas: a) cooperación jurídica internacional en materia civil, incluyendo cuestiones relacionadas con: 1. acceso internacional a la justicia; 2. el suministro internacional de alimentos; y 3. visitas, adopción y sustracción internacional de niños, niñas y adolescentes; (énfasis añadido).</w:t>
      </w:r>
    </w:p>
    <w:p w14:paraId="51302931" w14:textId="77777777" w:rsidR="002C1B58" w:rsidRPr="00B06F4F" w:rsidRDefault="002C1B58">
      <w:pPr>
        <w:pStyle w:val="SFPd"/>
        <w:rPr>
          <w:color w:val="000000"/>
          <w:lang w:val="pt-BR"/>
        </w:rPr>
      </w:pPr>
      <w:r>
        <w:rPr>
          <w:color w:val="000000"/>
          <w:lang w:val="pt-BR"/>
        </w:rPr>
        <w:t xml:space="preserve">[84] Art. 6 La Unión será notificada, en la persona de su representante judicial, en los procedimientos judiciales de restitución basados ​​en el Convenio de La Haya de 1980, en los que no es autor, y podrá asumir cualquiera de los polos o actuar como amicus curiae. </w:t>
      </w:r>
    </w:p>
    <w:p w14:paraId="3FA92D45" w14:textId="77777777" w:rsidR="002C1B58" w:rsidRPr="00B06F4F" w:rsidRDefault="002C1B58">
      <w:pPr>
        <w:pStyle w:val="SFPd"/>
        <w:rPr>
          <w:color w:val="000000"/>
          <w:lang w:val="pt-BR"/>
        </w:rPr>
      </w:pPr>
      <w:r>
        <w:rPr>
          <w:color w:val="000000"/>
          <w:lang w:val="pt-BR"/>
        </w:rPr>
        <w:t>[85] Artículo 3 Se considera ilícito el traslado o retención de un niño cuando:</w:t>
      </w:r>
    </w:p>
    <w:p w14:paraId="583A7C31" w14:textId="77777777" w:rsidR="002C1B58" w:rsidRPr="00B06F4F" w:rsidRDefault="002C1B58">
      <w:pPr>
        <w:pStyle w:val="SFPd"/>
        <w:rPr>
          <w:color w:val="000000"/>
          <w:lang w:val="pt-BR"/>
        </w:rPr>
      </w:pPr>
      <w:r>
        <w:rPr>
          <w:color w:val="000000"/>
          <w:lang w:val="pt-BR"/>
        </w:rPr>
        <w:t>a) ha habido violación del derecho de custodia otorgado a una persona o institución o cualquier otro organismo, individual o conjuntamente, por la ley del Estado donde el niño tenía su residencia habitual inmediatamente antes de su traslado o retención; y</w:t>
      </w:r>
    </w:p>
    <w:p w14:paraId="56BB529E" w14:textId="77777777" w:rsidR="002C1B58" w:rsidRPr="00B06F4F" w:rsidRDefault="002C1B58">
      <w:pPr>
        <w:pStyle w:val="SFPd"/>
        <w:rPr>
          <w:color w:val="000000"/>
          <w:lang w:val="pt-BR"/>
        </w:rPr>
      </w:pPr>
      <w:r>
        <w:rPr>
          <w:color w:val="000000"/>
          <w:lang w:val="pt-BR"/>
        </w:rPr>
        <w:t>b) este derecho se estaba ejerciendo efectivamente, individual o conjuntamente, en el momento de la transferencia o retención, o debería haberse ejercido si tales hechos no hubieran ocurrido.</w:t>
      </w:r>
    </w:p>
    <w:p w14:paraId="6B5D6A09" w14:textId="77777777" w:rsidR="002C1B58" w:rsidRPr="00B06F4F" w:rsidRDefault="002C1B58">
      <w:pPr>
        <w:pStyle w:val="SFPd"/>
        <w:rPr>
          <w:color w:val="000000"/>
          <w:lang w:val="pt-BR"/>
        </w:rPr>
      </w:pPr>
      <w:r>
        <w:rPr>
          <w:color w:val="000000"/>
          <w:lang w:val="pt-BR"/>
        </w:rPr>
        <w:t>El derecho de custodia a que se refiere el inciso a) puede resultar de una concesión por ministerio de la ley, de una decisión judicial o administrativa o de un acuerdo vigente según la legislación de ese Estado.</w:t>
      </w:r>
    </w:p>
    <w:p w14:paraId="79B9D806" w14:textId="77777777" w:rsidR="002C1B58" w:rsidRPr="00B06F4F" w:rsidRDefault="002C1B58">
      <w:pPr>
        <w:pStyle w:val="SFPd"/>
        <w:rPr>
          <w:color w:val="000000"/>
          <w:lang w:val="pt-BR"/>
        </w:rPr>
      </w:pPr>
      <w:r>
        <w:rPr>
          <w:color w:val="000000"/>
          <w:lang w:val="pt-BR"/>
        </w:rPr>
        <w:t xml:space="preserve">Artículo 15 Las autoridades judiciales o administrativas de un Estado contratante podrán, antes de ordenar la restitución del niño, solicitar al solicitante la presentación de una decisión o un certificado emitido por las autoridades del Estado de residencia habitual del niño que demuestre que el traslado o la retención tuvo lugar ilegalmente de conformidad con el artículo 3 del Convenio, siempre que dicha decisión o certificado pueda obtenerse en ese Estado. Las autoridades centrales de los Estados contratantes ayudarán, en la medida de lo posible, a los solicitantes a obtener dicha decisión o </w:t>
      </w:r>
      <w:r>
        <w:rPr>
          <w:color w:val="000000"/>
          <w:lang w:val="pt-BR"/>
        </w:rPr>
        <w:lastRenderedPageBreak/>
        <w:t>certificación.</w:t>
      </w:r>
    </w:p>
    <w:p w14:paraId="69A148A7" w14:textId="77777777" w:rsidR="002C1B58" w:rsidRPr="00B06F4F" w:rsidRDefault="002C1B58">
      <w:pPr>
        <w:pStyle w:val="SFPd"/>
        <w:rPr>
          <w:color w:val="000000"/>
          <w:lang w:val="pt-BR"/>
        </w:rPr>
      </w:pPr>
      <w:r>
        <w:rPr>
          <w:color w:val="000000"/>
          <w:lang w:val="pt-BR"/>
        </w:rPr>
        <w:t>[86] Art. 28. La asistencia directa está disponible cuando la medida no resulta directamente de una decisión de una autoridad jurisdiccional extranjera que debe ser sometida a deliberación en Brasil.</w:t>
      </w:r>
    </w:p>
    <w:p w14:paraId="6B6D0CDA" w14:textId="77777777" w:rsidR="002C1B58" w:rsidRPr="00B06F4F" w:rsidRDefault="002C1B58">
      <w:pPr>
        <w:pStyle w:val="SFPd"/>
        <w:rPr>
          <w:color w:val="000000"/>
          <w:lang w:val="pt-BR"/>
        </w:rPr>
      </w:pPr>
      <w:r>
        <w:rPr>
          <w:color w:val="000000"/>
          <w:lang w:val="pt-BR"/>
        </w:rPr>
        <w:t>Art. 29. La solicitud de asistencia directa será transmitida por el organismo extranjero interesado a la autoridad central, siendo el Estado requirente responsable de garantizar la autenticidad y claridad de la solicitud.</w:t>
      </w:r>
    </w:p>
    <w:p w14:paraId="5192ED66" w14:textId="77777777" w:rsidR="002C1B58" w:rsidRPr="00B06F4F" w:rsidRDefault="002C1B58">
      <w:pPr>
        <w:pStyle w:val="SFPd"/>
        <w:rPr>
          <w:color w:val="000000"/>
          <w:lang w:val="pt-BR"/>
        </w:rPr>
      </w:pPr>
      <w:r>
        <w:rPr>
          <w:color w:val="000000"/>
          <w:lang w:val="pt-BR"/>
        </w:rPr>
        <w:t>Art. 30. Además de los casos previstos en los tratados de los que Brasil es parte, la asistencia directa tendrá los siguientes objetivos: I - obtener y proporcionar información sobre el ordenamiento jurídico y sobre los procesos administrativos o jurisdiccionales finalizados o en curso; II - obtención de pruebas, salvo que la medida sea adoptada en un proceso en curso en el exterior, bajo competencia exclusiva de una autoridad judicial brasileña; III - cualquier otra medida judicial o extrajudicial no prohibida por la ley brasileña.</w:t>
      </w:r>
    </w:p>
    <w:p w14:paraId="0CAA329B" w14:textId="77777777" w:rsidR="002C1B58" w:rsidRPr="00B06F4F" w:rsidRDefault="002C1B58">
      <w:pPr>
        <w:pStyle w:val="SFPd"/>
        <w:rPr>
          <w:color w:val="000000"/>
          <w:lang w:val="pt-BR"/>
        </w:rPr>
      </w:pPr>
      <w:r>
        <w:rPr>
          <w:color w:val="000000"/>
          <w:lang w:val="pt-BR"/>
        </w:rPr>
        <w:t>Art. 31. La autoridad central brasileña se comunicará directamente con sus homólogos y, si es necesario, con otros organismos extranjeros responsables de procesar y ejecutar las solicitudes de cooperación enviadas y recibidas por el Estado brasileño, respetando las disposiciones específicas contenidas en el tratado.</w:t>
      </w:r>
    </w:p>
    <w:p w14:paraId="786421E6" w14:textId="77777777" w:rsidR="002C1B58" w:rsidRPr="00B06F4F" w:rsidRDefault="002C1B58">
      <w:pPr>
        <w:pStyle w:val="SFPd"/>
        <w:rPr>
          <w:color w:val="000000"/>
          <w:lang w:val="pt-BR"/>
        </w:rPr>
      </w:pPr>
      <w:r>
        <w:rPr>
          <w:color w:val="000000"/>
          <w:lang w:val="pt-BR"/>
        </w:rPr>
        <w:t>Art. 32. En el caso de asistencia directa para la realización de actos que, según la legislación brasileña, no requieren disposición judicial, la autoridad central adoptará las medidas necesarias para su cumplimiento.</w:t>
      </w:r>
    </w:p>
    <w:p w14:paraId="34755A3C" w14:textId="77777777" w:rsidR="002C1B58" w:rsidRPr="00B06F4F" w:rsidRDefault="002C1B58">
      <w:pPr>
        <w:pStyle w:val="SFPd"/>
        <w:rPr>
          <w:color w:val="000000"/>
          <w:lang w:val="pt-BR"/>
        </w:rPr>
      </w:pPr>
      <w:r>
        <w:rPr>
          <w:color w:val="000000"/>
          <w:lang w:val="pt-BR"/>
        </w:rPr>
        <w:t>Art. 33. Una vez recibida la solicitud de asistencia directa pasiva, la autoridad central la remitirá a Abogacía General de la Unión, quien solicitará al tribunal la medida solicitada. Un solo párrafo. El Ministerio Público solicitará judicialmente la medida solicitada cuando sea autoridad central.</w:t>
      </w:r>
    </w:p>
    <w:p w14:paraId="15137602" w14:textId="77777777" w:rsidR="002C1B58" w:rsidRPr="00B06F4F" w:rsidRDefault="002C1B58">
      <w:pPr>
        <w:pStyle w:val="SFPd"/>
        <w:rPr>
          <w:color w:val="000000"/>
          <w:lang w:val="pt-BR"/>
        </w:rPr>
      </w:pPr>
      <w:r>
        <w:rPr>
          <w:color w:val="000000"/>
          <w:lang w:val="pt-BR"/>
        </w:rPr>
        <w:t>Art. 34. Corresponde al tribunal federal del lugar donde se ejecutará la medida evaluar una solicitud de asistencia pasiva directa que requiera la prestación de actividad judicial.</w:t>
      </w:r>
    </w:p>
    <w:p w14:paraId="26A2E5C6" w14:textId="77777777" w:rsidR="002C1B58" w:rsidRPr="00B06F4F" w:rsidRDefault="002C1B58">
      <w:pPr>
        <w:pStyle w:val="SFPd"/>
        <w:rPr>
          <w:color w:val="000000"/>
          <w:lang w:val="pt-BR"/>
        </w:rPr>
      </w:pPr>
      <w:r>
        <w:rPr>
          <w:color w:val="000000"/>
          <w:lang w:val="pt-BR"/>
        </w:rPr>
        <w:t>[87] Artículo 16 Después de ser informadas del traslado o retención ilegal de un niño de conformidad con el artículo 3, las autoridades judiciales o administrativas del Estado contratante al que el niño ha sido llevado o retenido no podrán tomar decisiones sobre el fondo del derecho de custodia a menos que se determine que no se han cumplido las condiciones establecidas en este Convenio para la restitución del niño o ha transcurrido un período de tiempo razonable sin que se haya presentado una solicitud para la aplicación de este Convenio. Convención.</w:t>
      </w:r>
    </w:p>
    <w:p w14:paraId="52559580" w14:textId="77777777" w:rsidR="002C1B58" w:rsidRPr="00B06F4F" w:rsidRDefault="002C1B58">
      <w:pPr>
        <w:pStyle w:val="SFPd"/>
        <w:rPr>
          <w:color w:val="000000"/>
          <w:lang w:val="pt-BR"/>
        </w:rPr>
      </w:pPr>
      <w:r>
        <w:rPr>
          <w:color w:val="000000"/>
          <w:lang w:val="pt-BR"/>
        </w:rPr>
        <w:t xml:space="preserve">[88] Artículo 17 El mero hecho de que una decisión de custodia haya sido adoptada o sea susceptible de reconocimiento en el Estado demandado no puede servir como base para justificar una negativa a restituir al niño conforme a esta Convención, pero las autoridades judiciales o administrativas del Estado demandado podrán tener en cuenta los motivos de esa decisión al </w:t>
      </w:r>
      <w:r>
        <w:rPr>
          <w:color w:val="000000"/>
          <w:lang w:val="pt-BR"/>
        </w:rPr>
        <w:lastRenderedPageBreak/>
        <w:t>aplicar esta Convención.</w:t>
      </w:r>
    </w:p>
    <w:p w14:paraId="38552EA9" w14:textId="77777777" w:rsidR="002C1B58" w:rsidRPr="00B06F4F" w:rsidRDefault="002C1B58">
      <w:pPr>
        <w:pStyle w:val="SFPd"/>
        <w:rPr>
          <w:color w:val="000000"/>
          <w:lang w:val="pt-BR"/>
        </w:rPr>
      </w:pPr>
      <w:r>
        <w:rPr>
          <w:color w:val="000000"/>
          <w:lang w:val="pt-BR"/>
        </w:rPr>
        <w:t>[89] Artículo 1 El objetivo del presente Convenio es: a) garantizar el regreso inmediato de los niños trasladados ilegalmente a cualquier Estado contratante o detenidos indebidamente en él; b) garantizar que los derechos de custodia y visitas existentes en un Estado contratante sean efectivamente respetados en otros Estados contratantes.</w:t>
      </w:r>
    </w:p>
    <w:p w14:paraId="36EBD719" w14:textId="77777777" w:rsidR="002C1B58" w:rsidRPr="00B06F4F" w:rsidRDefault="002C1B58">
      <w:pPr>
        <w:pStyle w:val="SFPd"/>
        <w:rPr>
          <w:color w:val="000000"/>
          <w:lang w:val="pt-BR"/>
        </w:rPr>
      </w:pPr>
      <w:r>
        <w:rPr>
          <w:color w:val="000000"/>
          <w:lang w:val="pt-BR"/>
        </w:rPr>
        <w:t>Artículo 2 Los Estados contratantes tomarán todas las medidas apropiadas para garantizar, en sus respectivos territorios, el logro de los objetivos del Convenio. Para ello, deberán recurrir a procedimientos de emergencia.</w:t>
      </w:r>
    </w:p>
    <w:p w14:paraId="10A79B6C" w14:textId="77777777" w:rsidR="002C1B58" w:rsidRPr="00B06F4F" w:rsidRDefault="002C1B58">
      <w:pPr>
        <w:pStyle w:val="SFPd"/>
        <w:rPr>
          <w:color w:val="000000"/>
          <w:lang w:val="pt-BR"/>
        </w:rPr>
      </w:pPr>
      <w:r>
        <w:rPr>
          <w:color w:val="000000"/>
          <w:lang w:val="pt-BR"/>
        </w:rPr>
        <w:t>Artículo 3 El traslado o la retención de un niño se considera ilícito cuando: a) ha habido violación del derecho de custodia otorgado a una persona o institución o a cualquier otro organismo, individual o conjuntamente, por la ley del Estado donde el niño tenía su residencia habitual inmediatamente antes de su traslado o retención; y b) este derecho se estaba ejerciendo efectivamente, individual o conjuntamente, al momento de la transferencia o retención, o debería haberse ejercido si tales hechos no hubieran ocurrido. El derecho de custodia a que se refiere el inciso a) podrá resultar de una concesión de pleno derecho, de una decisión judicial o administrativa o de un acuerdo vigente con arreglo a la legislación de ese Estado.</w:t>
      </w:r>
    </w:p>
    <w:p w14:paraId="090240B3" w14:textId="77777777" w:rsidR="002C1B58" w:rsidRPr="00B06F4F" w:rsidRDefault="002C1B58">
      <w:pPr>
        <w:pStyle w:val="SFPd"/>
        <w:rPr>
          <w:color w:val="000000"/>
          <w:lang w:val="pt-BR"/>
        </w:rPr>
      </w:pPr>
      <w:r>
        <w:rPr>
          <w:color w:val="000000"/>
          <w:lang w:val="pt-BR"/>
        </w:rPr>
        <w:t>[90] Art. 21. De conformidad con el artículo 17 del Convenio de La Haya de 1980, la decisión del juez federal que ordena la restitución del niño debe ser cumplida incluso si existe una decisión sobre el derecho de custodia dictada en un proceso ante el Justicia Estadual brasileño.</w:t>
      </w:r>
    </w:p>
    <w:p w14:paraId="3678CAED" w14:textId="77777777" w:rsidR="002C1B58" w:rsidRPr="00B06F4F" w:rsidRDefault="002C1B58">
      <w:pPr>
        <w:pStyle w:val="SFPd"/>
        <w:rPr>
          <w:color w:val="000000"/>
          <w:lang w:val="pt-BR"/>
        </w:rPr>
      </w:pPr>
      <w:r>
        <w:rPr>
          <w:color w:val="000000"/>
          <w:lang w:val="pt-BR"/>
        </w:rPr>
        <w:t>Art. 22. Al tener conocimiento del proceso pendiente relativo a la custodia de los hijos que se tramita en Justicia Estadual, el juez federal comunicará al juez la tramitación de la solicitud de restitución, formulada de conformidad con el artículo 16 del Convenio de La Haya de 1980. Párrafo único. Una vez confirmado el proceso relativo a la custodia del menor en Justicia Estadual, en los casos previstos en esta Resolución, quedará suspendido hasta que el Justicia Federal se pronuncie sobre la restitución o no del menor.</w:t>
      </w:r>
    </w:p>
    <w:p w14:paraId="530DACE7" w14:textId="77777777" w:rsidR="002C1B58" w:rsidRPr="00B06F4F" w:rsidRDefault="002C1B58">
      <w:pPr>
        <w:pStyle w:val="SFPd"/>
        <w:rPr>
          <w:color w:val="000000"/>
          <w:lang w:val="pt-BR"/>
        </w:rPr>
      </w:pPr>
    </w:p>
    <w:p w14:paraId="4EAF0CB5" w14:textId="77777777" w:rsidR="002C1B58" w:rsidRPr="00B06F4F" w:rsidRDefault="002C1B58">
      <w:pPr>
        <w:pStyle w:val="SFPd"/>
        <w:rPr>
          <w:color w:val="000000"/>
          <w:lang w:val="pt-BR"/>
        </w:rPr>
      </w:pPr>
    </w:p>
    <w:p w14:paraId="2C876016" w14:textId="77777777" w:rsidR="002C1B58" w:rsidRPr="00B06F4F" w:rsidRDefault="002C1B58">
      <w:pPr>
        <w:pStyle w:val="SFPd"/>
        <w:rPr>
          <w:color w:val="000000"/>
          <w:lang w:val="pt-BR"/>
        </w:rPr>
      </w:pPr>
    </w:p>
    <w:p w14:paraId="607DE7C9" w14:textId="77777777" w:rsidR="002C1B58" w:rsidRPr="00B06F4F" w:rsidRDefault="002C1B58">
      <w:pPr>
        <w:pStyle w:val="SFPd"/>
        <w:rPr>
          <w:color w:val="000000"/>
          <w:lang w:val="pt-BR"/>
        </w:rPr>
      </w:pPr>
    </w:p>
    <w:sectPr w:rsidR="002C1B58" w:rsidRPr="00B06F4F">
      <w:headerReference w:type="default" r:id="rId10"/>
      <w:footerReference w:type="default" r:id="rId11"/>
      <w:type w:val="continuous"/>
      <w:pgSz w:w="11906" w:h="16838"/>
      <w:pgMar w:top="567" w:right="1134" w:bottom="1134" w:left="226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9C33B" w14:textId="77777777" w:rsidR="00D641C0" w:rsidRDefault="00D641C0">
      <w:pPr>
        <w:pStyle w:val="Nra"/>
      </w:pPr>
      <w:r>
        <w:rPr>
          <w:rFonts w:ascii="T*m*s*N*w*R*m*n" w:hAnsi="T*m*s*N*w*R*m*n" w:cs="T*m*s*N*w*R*m*n"/>
          <w:color w:val="auto"/>
          <w:sz w:val="24"/>
          <w:szCs w:val="24"/>
        </w:rPr>
        <w:separator/>
      </w:r>
    </w:p>
  </w:endnote>
  <w:endnote w:type="continuationSeparator" w:id="0">
    <w:p w14:paraId="010BB2F8" w14:textId="77777777" w:rsidR="00D641C0" w:rsidRDefault="00D641C0">
      <w:pPr>
        <w:pStyle w:val="Nra"/>
      </w:pPr>
      <w:r>
        <w:rPr>
          <w:rFonts w:ascii="T*m*s*N*w*R*m*n" w:hAnsi="T*m*s*N*w*R*m*n" w:cs="T*m*s*N*w*R*m*n"/>
          <w:color w:val="auto"/>
          <w:sz w:val="24"/>
          <w:szCs w:val="24"/>
        </w:rP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m*s*N*w*R*m*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i*l">
    <w:panose1 w:val="00000000000000000000"/>
    <w:charset w:val="00"/>
    <w:family w:val="roman"/>
    <w:notTrueType/>
    <w:pitch w:val="default"/>
  </w:font>
  <w:font w:name="P*l*t*n* *i*o*y*e">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476BC" w14:textId="77777777" w:rsidR="00A26C38" w:rsidRDefault="00A26C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3AA0" w14:textId="77777777" w:rsidR="00D641C0" w:rsidRDefault="00D641C0">
      <w:pPr>
        <w:pStyle w:val="Nra"/>
      </w:pPr>
      <w:r>
        <w:rPr>
          <w:rFonts w:ascii="T*m*s*N*w*R*m*n" w:hAnsi="T*m*s*N*w*R*m*n" w:cs="T*m*s*N*w*R*m*n"/>
          <w:color w:val="auto"/>
          <w:sz w:val="24"/>
          <w:szCs w:val="24"/>
        </w:rPr>
        <w:separator/>
      </w:r>
    </w:p>
  </w:footnote>
  <w:footnote w:type="continuationSeparator" w:id="0">
    <w:p w14:paraId="3741CF75" w14:textId="77777777" w:rsidR="00D641C0" w:rsidRDefault="00D641C0">
      <w:pPr>
        <w:pStyle w:val="Nra"/>
      </w:pPr>
      <w:r>
        <w:rPr>
          <w:rFonts w:ascii="T*m*s*N*w*R*m*n" w:hAnsi="T*m*s*N*w*R*m*n" w:cs="T*m*s*N*w*R*m*n"/>
          <w:color w:val="auto"/>
          <w:sz w:val="24"/>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CDCA1" w14:textId="77777777" w:rsidR="00A26C38" w:rsidRDefault="00A26C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00817"/>
    <w:multiLevelType w:val="hybridMultilevel"/>
    <w:tmpl w:val="FFFFFFFF"/>
    <w:lvl w:ilvl="0" w:tplc="FFFFFFFF">
      <w:start w:val="1"/>
      <w:numFmt w:val="decimal"/>
      <w:lvlText w:val="*"/>
      <w:lvlJc w:val="left"/>
      <w:rPr>
        <w:rFonts w:ascii="T*m*s*N*w*R*m*n" w:hAnsi="T*m*s*N*w*R*m*n" w:cs="T*m*s*N*w*R*m*n"/>
        <w:sz w:val="20"/>
        <w:szCs w:val="20"/>
      </w:rPr>
    </w:lvl>
    <w:lvl w:ilvl="1" w:tplc="FFFFFFFF">
      <w:start w:val="1"/>
      <w:numFmt w:val="decimal"/>
      <w:lvlText w:val="*"/>
      <w:lvlJc w:val="left"/>
      <w:rPr>
        <w:rFonts w:ascii="T*m*s*N*w*R*m*n" w:hAnsi="T*m*s*N*w*R*m*n" w:cs="T*m*s*N*w*R*m*n"/>
        <w:sz w:val="20"/>
        <w:szCs w:val="20"/>
      </w:rPr>
    </w:lvl>
    <w:lvl w:ilvl="2" w:tplc="FFFFFFFF">
      <w:start w:val="1"/>
      <w:numFmt w:val="decimal"/>
      <w:lvlText w:val="*"/>
      <w:lvlJc w:val="left"/>
      <w:rPr>
        <w:rFonts w:ascii="T*m*s*N*w*R*m*n" w:hAnsi="T*m*s*N*w*R*m*n" w:cs="T*m*s*N*w*R*m*n"/>
        <w:sz w:val="20"/>
        <w:szCs w:val="20"/>
      </w:rPr>
    </w:lvl>
    <w:lvl w:ilvl="3" w:tplc="FFFFFFFF">
      <w:start w:val="1"/>
      <w:numFmt w:val="decimal"/>
      <w:lvlText w:val="*"/>
      <w:lvlJc w:val="left"/>
      <w:rPr>
        <w:rFonts w:ascii="T*m*s*N*w*R*m*n" w:hAnsi="T*m*s*N*w*R*m*n" w:cs="T*m*s*N*w*R*m*n"/>
        <w:sz w:val="20"/>
        <w:szCs w:val="20"/>
      </w:rPr>
    </w:lvl>
    <w:lvl w:ilvl="4" w:tplc="FFFFFFFF">
      <w:start w:val="1"/>
      <w:numFmt w:val="decimal"/>
      <w:lvlText w:val="*"/>
      <w:lvlJc w:val="left"/>
      <w:rPr>
        <w:rFonts w:ascii="T*m*s*N*w*R*m*n" w:hAnsi="T*m*s*N*w*R*m*n" w:cs="T*m*s*N*w*R*m*n"/>
        <w:sz w:val="20"/>
        <w:szCs w:val="20"/>
      </w:rPr>
    </w:lvl>
    <w:lvl w:ilvl="5" w:tplc="FFFFFFFF">
      <w:start w:val="1"/>
      <w:numFmt w:val="decimal"/>
      <w:lvlText w:val="*"/>
      <w:lvlJc w:val="left"/>
      <w:rPr>
        <w:rFonts w:ascii="T*m*s*N*w*R*m*n" w:hAnsi="T*m*s*N*w*R*m*n" w:cs="T*m*s*N*w*R*m*n"/>
        <w:sz w:val="20"/>
        <w:szCs w:val="20"/>
      </w:rPr>
    </w:lvl>
    <w:lvl w:ilvl="6" w:tplc="FFFFFFFF">
      <w:start w:val="1"/>
      <w:numFmt w:val="decimal"/>
      <w:lvlText w:val="*"/>
      <w:lvlJc w:val="left"/>
      <w:rPr>
        <w:rFonts w:ascii="T*m*s*N*w*R*m*n" w:hAnsi="T*m*s*N*w*R*m*n" w:cs="T*m*s*N*w*R*m*n"/>
        <w:sz w:val="20"/>
        <w:szCs w:val="20"/>
      </w:rPr>
    </w:lvl>
    <w:lvl w:ilvl="7" w:tplc="FFFFFFFF">
      <w:start w:val="1"/>
      <w:numFmt w:val="decimal"/>
      <w:lvlText w:val="*"/>
      <w:lvlJc w:val="left"/>
      <w:rPr>
        <w:rFonts w:ascii="T*m*s*N*w*R*m*n" w:hAnsi="T*m*s*N*w*R*m*n" w:cs="T*m*s*N*w*R*m*n"/>
        <w:sz w:val="20"/>
        <w:szCs w:val="20"/>
      </w:rPr>
    </w:lvl>
    <w:lvl w:ilvl="8" w:tplc="FFFFFFFF">
      <w:start w:val="1"/>
      <w:numFmt w:val="decimal"/>
      <w:lvlText w:val="*"/>
      <w:lvlJc w:val="left"/>
      <w:rPr>
        <w:rFonts w:ascii="T*m*s*N*w*R*m*n" w:hAnsi="T*m*s*N*w*R*m*n" w:cs="T*m*s*N*w*R*m*n"/>
        <w:sz w:val="20"/>
        <w:szCs w:val="20"/>
      </w:rPr>
    </w:lvl>
  </w:abstractNum>
  <w:num w:numId="1" w16cid:durableId="1766029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9"/>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AAE"/>
    <w:rsid w:val="00032AAE"/>
    <w:rsid w:val="001A7936"/>
    <w:rsid w:val="00290CC1"/>
    <w:rsid w:val="002C1B58"/>
    <w:rsid w:val="00597E53"/>
    <w:rsid w:val="00A26C38"/>
    <w:rsid w:val="00B06F4F"/>
    <w:rsid w:val="00B36097"/>
    <w:rsid w:val="00D641C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AAFE7B"/>
  <w14:defaultImageDpi w14:val="0"/>
  <w15:docId w15:val="{989248E5-4C64-42A7-BB22-3442F6CFD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AR" w:eastAsia="es-A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aig1Ca">
    <w:name w:val="H*a*i*g*1*C*a*"/>
    <w:link w:val="Haig1"/>
    <w:rPr>
      <w:rFonts w:ascii="A*i*l" w:hAnsi="A*i*l"/>
      <w:sz w:val="40"/>
      <w:lang w:val="es-AR"/>
    </w:rPr>
  </w:style>
  <w:style w:type="paragraph" w:customStyle="1" w:styleId="Haig2">
    <w:name w:val="H*a*i*g*2"/>
    <w:basedOn w:val="Nra"/>
    <w:next w:val="Nra"/>
    <w:link w:val="Haig2Ca"/>
    <w:uiPriority w:val="99"/>
    <w:unhideWhenUsed/>
    <w:qFormat/>
    <w:pPr>
      <w:keepNext/>
      <w:keepLines/>
      <w:spacing w:before="360" w:after="200" w:line="240" w:lineRule="auto"/>
      <w:jc w:val="left"/>
      <w:outlineLvl w:val="1"/>
    </w:pPr>
    <w:rPr>
      <w:rFonts w:ascii="A*i*l" w:hAnsi="A*i*l" w:cs="A*i*l"/>
      <w:color w:val="auto"/>
      <w:sz w:val="34"/>
      <w:szCs w:val="34"/>
    </w:rPr>
  </w:style>
  <w:style w:type="character" w:customStyle="1" w:styleId="Haig2Ca">
    <w:name w:val="H*a*i*g*2*C*a*"/>
    <w:link w:val="Haig2"/>
    <w:uiPriority w:val="99"/>
    <w:rPr>
      <w:rFonts w:ascii="A*i*l" w:hAnsi="A*i*l"/>
      <w:sz w:val="34"/>
      <w:lang w:val="es-AR"/>
    </w:rPr>
  </w:style>
  <w:style w:type="paragraph" w:customStyle="1" w:styleId="Haig3">
    <w:name w:val="H*a*i*g*3"/>
    <w:basedOn w:val="Nra"/>
    <w:next w:val="Nra"/>
    <w:link w:val="Haig3Ca"/>
    <w:uiPriority w:val="99"/>
    <w:unhideWhenUsed/>
    <w:qFormat/>
    <w:pPr>
      <w:keepNext/>
      <w:keepLines/>
      <w:spacing w:before="320" w:after="200" w:line="240" w:lineRule="auto"/>
      <w:jc w:val="left"/>
      <w:outlineLvl w:val="2"/>
    </w:pPr>
    <w:rPr>
      <w:rFonts w:ascii="A*i*l" w:hAnsi="A*i*l" w:cs="A*i*l"/>
      <w:color w:val="auto"/>
      <w:sz w:val="30"/>
      <w:szCs w:val="30"/>
    </w:rPr>
  </w:style>
  <w:style w:type="character" w:customStyle="1" w:styleId="Haig3Ca">
    <w:name w:val="H*a*i*g*3*C*a*"/>
    <w:link w:val="Haig3"/>
    <w:uiPriority w:val="99"/>
    <w:rPr>
      <w:rFonts w:ascii="A*i*l" w:hAnsi="A*i*l"/>
      <w:sz w:val="30"/>
      <w:lang w:val="es-AR"/>
    </w:rPr>
  </w:style>
  <w:style w:type="paragraph" w:customStyle="1" w:styleId="Haig4">
    <w:name w:val="H*a*i*g*4"/>
    <w:basedOn w:val="Nra"/>
    <w:next w:val="Nra"/>
    <w:link w:val="Haig4Ca"/>
    <w:uiPriority w:val="99"/>
    <w:unhideWhenUsed/>
    <w:qFormat/>
    <w:pPr>
      <w:keepNext/>
      <w:keepLines/>
      <w:spacing w:before="320" w:after="200" w:line="240" w:lineRule="auto"/>
      <w:jc w:val="left"/>
      <w:outlineLvl w:val="3"/>
    </w:pPr>
    <w:rPr>
      <w:rFonts w:ascii="A*i*l" w:hAnsi="A*i*l" w:cs="A*i*l"/>
      <w:b/>
      <w:bCs/>
      <w:color w:val="auto"/>
    </w:rPr>
  </w:style>
  <w:style w:type="character" w:customStyle="1" w:styleId="Haig4Ca">
    <w:name w:val="H*a*i*g*4*C*a*"/>
    <w:link w:val="Haig4"/>
    <w:uiPriority w:val="99"/>
    <w:rPr>
      <w:rFonts w:ascii="A*i*l" w:hAnsi="A*i*l"/>
      <w:b/>
      <w:sz w:val="26"/>
      <w:lang w:val="es-AR"/>
    </w:rPr>
  </w:style>
  <w:style w:type="paragraph" w:customStyle="1" w:styleId="Haig5">
    <w:name w:val="H*a*i*g*5"/>
    <w:basedOn w:val="Nra"/>
    <w:next w:val="Nra"/>
    <w:link w:val="Haig5Ca"/>
    <w:uiPriority w:val="99"/>
    <w:unhideWhenUsed/>
    <w:qFormat/>
    <w:pPr>
      <w:keepNext/>
      <w:keepLines/>
      <w:spacing w:before="320" w:after="200" w:line="240" w:lineRule="auto"/>
      <w:jc w:val="left"/>
      <w:outlineLvl w:val="4"/>
    </w:pPr>
    <w:rPr>
      <w:rFonts w:ascii="A*i*l" w:hAnsi="A*i*l" w:cs="A*i*l"/>
      <w:b/>
      <w:bCs/>
      <w:color w:val="auto"/>
      <w:sz w:val="24"/>
      <w:szCs w:val="24"/>
    </w:rPr>
  </w:style>
  <w:style w:type="character" w:customStyle="1" w:styleId="Haig5Ca">
    <w:name w:val="H*a*i*g*5*C*a*"/>
    <w:link w:val="Haig5"/>
    <w:uiPriority w:val="99"/>
    <w:rPr>
      <w:rFonts w:ascii="A*i*l" w:hAnsi="A*i*l"/>
      <w:b/>
      <w:lang w:val="es-AR"/>
    </w:rPr>
  </w:style>
  <w:style w:type="paragraph" w:customStyle="1" w:styleId="Haig6">
    <w:name w:val="H*a*i*g*6"/>
    <w:basedOn w:val="Nra"/>
    <w:next w:val="Nra"/>
    <w:link w:val="Haig6Ca"/>
    <w:uiPriority w:val="99"/>
    <w:unhideWhenUsed/>
    <w:qFormat/>
    <w:pPr>
      <w:keepNext/>
      <w:keepLines/>
      <w:spacing w:before="320" w:after="200" w:line="240" w:lineRule="auto"/>
      <w:jc w:val="left"/>
      <w:outlineLvl w:val="5"/>
    </w:pPr>
    <w:rPr>
      <w:rFonts w:ascii="A*i*l" w:hAnsi="A*i*l" w:cs="A*i*l"/>
      <w:b/>
      <w:bCs/>
      <w:color w:val="auto"/>
      <w:sz w:val="22"/>
      <w:szCs w:val="22"/>
    </w:rPr>
  </w:style>
  <w:style w:type="character" w:customStyle="1" w:styleId="Haig6Ca">
    <w:name w:val="H*a*i*g*6*C*a*"/>
    <w:link w:val="Haig6"/>
    <w:uiPriority w:val="99"/>
    <w:rPr>
      <w:rFonts w:ascii="A*i*l" w:hAnsi="A*i*l"/>
      <w:b/>
      <w:sz w:val="22"/>
      <w:lang w:val="es-AR"/>
    </w:rPr>
  </w:style>
  <w:style w:type="paragraph" w:customStyle="1" w:styleId="Haig7">
    <w:name w:val="H*a*i*g*7"/>
    <w:basedOn w:val="Nra"/>
    <w:next w:val="Nra"/>
    <w:link w:val="Haig7Ca"/>
    <w:uiPriority w:val="99"/>
    <w:unhideWhenUsed/>
    <w:qFormat/>
    <w:pPr>
      <w:keepNext/>
      <w:keepLines/>
      <w:spacing w:before="320" w:after="200" w:line="240" w:lineRule="auto"/>
      <w:jc w:val="left"/>
      <w:outlineLvl w:val="6"/>
    </w:pPr>
    <w:rPr>
      <w:rFonts w:ascii="A*i*l" w:hAnsi="A*i*l" w:cs="A*i*l"/>
      <w:b/>
      <w:bCs/>
      <w:i/>
      <w:iCs/>
      <w:color w:val="auto"/>
      <w:sz w:val="22"/>
      <w:szCs w:val="22"/>
    </w:rPr>
  </w:style>
  <w:style w:type="character" w:customStyle="1" w:styleId="Haig7Ca">
    <w:name w:val="H*a*i*g*7*C*a*"/>
    <w:link w:val="Haig7"/>
    <w:uiPriority w:val="99"/>
    <w:rPr>
      <w:rFonts w:ascii="A*i*l" w:hAnsi="A*i*l"/>
      <w:b/>
      <w:i/>
      <w:sz w:val="22"/>
      <w:lang w:val="es-AR"/>
    </w:rPr>
  </w:style>
  <w:style w:type="paragraph" w:customStyle="1" w:styleId="Haig8">
    <w:name w:val="H*a*i*g*8"/>
    <w:basedOn w:val="Nra"/>
    <w:next w:val="Nra"/>
    <w:link w:val="Haig8Ca"/>
    <w:uiPriority w:val="99"/>
    <w:unhideWhenUsed/>
    <w:qFormat/>
    <w:pPr>
      <w:keepNext/>
      <w:keepLines/>
      <w:spacing w:before="320" w:after="200" w:line="240" w:lineRule="auto"/>
      <w:jc w:val="left"/>
      <w:outlineLvl w:val="7"/>
    </w:pPr>
    <w:rPr>
      <w:rFonts w:ascii="A*i*l" w:hAnsi="A*i*l" w:cs="A*i*l"/>
      <w:i/>
      <w:iCs/>
      <w:color w:val="auto"/>
      <w:sz w:val="22"/>
      <w:szCs w:val="22"/>
    </w:rPr>
  </w:style>
  <w:style w:type="character" w:customStyle="1" w:styleId="Haig8Ca">
    <w:name w:val="H*a*i*g*8*C*a*"/>
    <w:link w:val="Haig8"/>
    <w:uiPriority w:val="99"/>
    <w:rPr>
      <w:rFonts w:ascii="A*i*l" w:hAnsi="A*i*l"/>
      <w:i/>
      <w:sz w:val="22"/>
      <w:lang w:val="es-AR"/>
    </w:rPr>
  </w:style>
  <w:style w:type="paragraph" w:customStyle="1" w:styleId="Haig9">
    <w:name w:val="H*a*i*g*9"/>
    <w:basedOn w:val="Nra"/>
    <w:next w:val="Nra"/>
    <w:link w:val="Haig9Ca"/>
    <w:uiPriority w:val="99"/>
    <w:unhideWhenUsed/>
    <w:qFormat/>
    <w:pPr>
      <w:keepNext/>
      <w:keepLines/>
      <w:spacing w:before="320" w:after="200" w:line="240" w:lineRule="auto"/>
      <w:jc w:val="left"/>
      <w:outlineLvl w:val="8"/>
    </w:pPr>
    <w:rPr>
      <w:rFonts w:ascii="A*i*l" w:hAnsi="A*i*l" w:cs="A*i*l"/>
      <w:i/>
      <w:iCs/>
      <w:color w:val="auto"/>
      <w:sz w:val="21"/>
      <w:szCs w:val="21"/>
    </w:rPr>
  </w:style>
  <w:style w:type="character" w:customStyle="1" w:styleId="Haig9Ca">
    <w:name w:val="H*a*i*g*9*C*a*"/>
    <w:link w:val="Haig9"/>
    <w:uiPriority w:val="99"/>
    <w:rPr>
      <w:rFonts w:ascii="A*i*l" w:hAnsi="A*i*l"/>
      <w:i/>
      <w:sz w:val="21"/>
      <w:lang w:val="es-AR"/>
    </w:rPr>
  </w:style>
  <w:style w:type="paragraph" w:customStyle="1" w:styleId="Lsaarp">
    <w:name w:val="L*s* *a*a*r*p*"/>
    <w:basedOn w:val="Nra"/>
    <w:uiPriority w:val="99"/>
    <w:qFormat/>
    <w:pPr>
      <w:spacing w:line="240" w:lineRule="auto"/>
      <w:ind w:left="720"/>
      <w:contextualSpacing/>
      <w:jc w:val="left"/>
    </w:pPr>
    <w:rPr>
      <w:rFonts w:ascii="Times New Roman" w:hAnsi="Times New Roman" w:cs="Times New Roman"/>
      <w:color w:val="auto"/>
      <w:sz w:val="24"/>
      <w:szCs w:val="24"/>
    </w:rPr>
  </w:style>
  <w:style w:type="paragraph" w:customStyle="1" w:styleId="Npcn">
    <w:name w:val="N* *p*c*n*"/>
    <w:uiPriority w:val="99"/>
    <w:qFormat/>
    <w:pPr>
      <w:widowControl w:val="0"/>
      <w:autoSpaceDE w:val="0"/>
      <w:autoSpaceDN w:val="0"/>
      <w:adjustRightInd w:val="0"/>
      <w:spacing w:after="0" w:line="240" w:lineRule="auto"/>
    </w:pPr>
    <w:rPr>
      <w:lang w:val="es-AR" w:eastAsia="es-AR"/>
    </w:rPr>
  </w:style>
  <w:style w:type="character" w:customStyle="1" w:styleId="TteCa">
    <w:name w:val="T*t*e*C*a*"/>
    <w:link w:val="Tte"/>
    <w:uiPriority w:val="99"/>
    <w:rPr>
      <w:sz w:val="48"/>
      <w:lang w:val="es-AR"/>
    </w:rPr>
  </w:style>
  <w:style w:type="character" w:customStyle="1" w:styleId="Sbilhr">
    <w:name w:val="S*b*i*l* *h*r"/>
    <w:link w:val="Sbil"/>
    <w:uiPriority w:val="99"/>
    <w:rPr>
      <w:lang w:val="es-AR"/>
    </w:rPr>
  </w:style>
  <w:style w:type="paragraph" w:customStyle="1" w:styleId="Qoe">
    <w:name w:val="Q*o*e"/>
    <w:basedOn w:val="Nra"/>
    <w:next w:val="Nra"/>
    <w:link w:val="QoeCa"/>
    <w:uiPriority w:val="99"/>
    <w:qFormat/>
    <w:pPr>
      <w:spacing w:line="240" w:lineRule="auto"/>
      <w:ind w:left="720" w:right="720"/>
      <w:jc w:val="left"/>
    </w:pPr>
    <w:rPr>
      <w:rFonts w:ascii="Times New Roman" w:hAnsi="Times New Roman" w:cs="Times New Roman"/>
      <w:i/>
      <w:iCs/>
      <w:color w:val="auto"/>
      <w:sz w:val="24"/>
      <w:szCs w:val="24"/>
    </w:rPr>
  </w:style>
  <w:style w:type="character" w:customStyle="1" w:styleId="QoeCa">
    <w:name w:val="Q*o*e*C*a*"/>
    <w:link w:val="Qoe"/>
    <w:uiPriority w:val="99"/>
    <w:rPr>
      <w:i/>
      <w:lang w:val="es-AR"/>
    </w:rPr>
  </w:style>
  <w:style w:type="paragraph" w:customStyle="1" w:styleId="ItneQoe">
    <w:name w:val="I*t*n*e*Q*o*e"/>
    <w:basedOn w:val="Nra"/>
    <w:next w:val="Nra"/>
    <w:link w:val="ItneQoeCa"/>
    <w:uiPriority w:val="99"/>
    <w:qFormat/>
    <w:pPr>
      <w:pBdr>
        <w:top w:val="single" w:sz="4" w:space="5" w:color="FFFFFF"/>
        <w:left w:val="single" w:sz="4" w:space="10" w:color="FFFFFF"/>
        <w:bottom w:val="single" w:sz="4" w:space="5" w:color="FFFFFF"/>
        <w:right w:val="single" w:sz="4" w:space="10" w:color="FFFFFF"/>
      </w:pBdr>
      <w:shd w:val="clear" w:color="auto" w:fill="F2F2F2"/>
      <w:spacing w:line="240" w:lineRule="auto"/>
      <w:ind w:left="720" w:right="720"/>
      <w:contextualSpacing/>
      <w:jc w:val="left"/>
    </w:pPr>
    <w:rPr>
      <w:rFonts w:ascii="Times New Roman" w:hAnsi="Times New Roman" w:cs="Times New Roman"/>
      <w:i/>
      <w:iCs/>
      <w:color w:val="auto"/>
      <w:sz w:val="24"/>
      <w:szCs w:val="24"/>
    </w:rPr>
  </w:style>
  <w:style w:type="character" w:customStyle="1" w:styleId="ItneQoeCa">
    <w:name w:val="I*t*n*e*Q*o*e*C*a*"/>
    <w:link w:val="ItneQoe"/>
    <w:uiPriority w:val="99"/>
    <w:rPr>
      <w:i/>
      <w:lang w:val="es-AR"/>
    </w:rPr>
  </w:style>
  <w:style w:type="character" w:customStyle="1" w:styleId="Haehr">
    <w:name w:val="H*a*e* *h*r"/>
    <w:link w:val="Hae"/>
    <w:uiPriority w:val="99"/>
    <w:rPr>
      <w:lang w:val="es-AR"/>
    </w:rPr>
  </w:style>
  <w:style w:type="character" w:customStyle="1" w:styleId="Foehr">
    <w:name w:val="F*o*e* *h*r"/>
    <w:uiPriority w:val="99"/>
    <w:rPr>
      <w:lang w:val="es-AR"/>
    </w:rPr>
  </w:style>
  <w:style w:type="character" w:customStyle="1" w:styleId="CpinCa">
    <w:name w:val="C*p*i*n*C*a*"/>
    <w:basedOn w:val="DefaultParagraphFont"/>
    <w:link w:val="Foe"/>
    <w:uiPriority w:val="99"/>
    <w:rPr>
      <w:rFonts w:cs="Times New Roman"/>
      <w:lang w:val="es-AR"/>
    </w:rPr>
  </w:style>
  <w:style w:type="table" w:customStyle="1" w:styleId="TbeGi">
    <w:name w:val="T*b*e*G*i*"/>
    <w:uiPriority w:val="99"/>
    <w:pPr>
      <w:widowControl w:val="0"/>
      <w:autoSpaceDE w:val="0"/>
      <w:autoSpaceDN w:val="0"/>
      <w:adjustRightInd w:val="0"/>
      <w:spacing w:after="0" w:line="240" w:lineRule="auto"/>
    </w:pPr>
    <w:rPr>
      <w:lang w:val="es-AR" w:eastAsia="es-AR"/>
    </w:rPr>
    <w:tblPr>
      <w:tblInd w:w="0" w:type="dxa"/>
      <w:tblCellMar>
        <w:top w:w="0" w:type="dxa"/>
        <w:left w:w="108" w:type="dxa"/>
        <w:bottom w:w="0" w:type="dxa"/>
        <w:right w:w="108" w:type="dxa"/>
      </w:tblCellMar>
    </w:tblPr>
  </w:style>
  <w:style w:type="table" w:customStyle="1" w:styleId="TbeGiih">
    <w:name w:val="T*b*e*G*i* *i*h*"/>
    <w:uiPriority w:val="99"/>
    <w:pPr>
      <w:widowControl w:val="0"/>
      <w:autoSpaceDE w:val="0"/>
      <w:autoSpaceDN w:val="0"/>
      <w:adjustRightInd w:val="0"/>
      <w:spacing w:after="0" w:line="240" w:lineRule="auto"/>
    </w:pPr>
    <w:rPr>
      <w:lang w:val="es-AR" w:eastAsia="es-AR"/>
    </w:rPr>
    <w:tblPr>
      <w:tblInd w:w="0" w:type="dxa"/>
      <w:tblCellMar>
        <w:top w:w="0" w:type="dxa"/>
        <w:left w:w="108" w:type="dxa"/>
        <w:bottom w:w="0" w:type="dxa"/>
        <w:right w:w="108" w:type="dxa"/>
      </w:tblCellMar>
    </w:tblPr>
  </w:style>
  <w:style w:type="table" w:customStyle="1" w:styleId="PanTbe1">
    <w:name w:val="P*a*n*T*b*e*1"/>
    <w:uiPriority w:val="99"/>
    <w:pPr>
      <w:widowControl w:val="0"/>
      <w:autoSpaceDE w:val="0"/>
      <w:autoSpaceDN w:val="0"/>
      <w:adjustRightInd w:val="0"/>
      <w:spacing w:after="0" w:line="240" w:lineRule="auto"/>
    </w:pPr>
    <w:rPr>
      <w:lang w:val="es-AR" w:eastAsia="es-AR"/>
    </w:rPr>
    <w:tblPr>
      <w:tblInd w:w="0" w:type="dxa"/>
      <w:tblCellMar>
        <w:top w:w="0" w:type="dxa"/>
        <w:left w:w="108" w:type="dxa"/>
        <w:bottom w:w="0" w:type="dxa"/>
        <w:right w:w="108" w:type="dxa"/>
      </w:tblCellMar>
    </w:tblPr>
  </w:style>
  <w:style w:type="table" w:customStyle="1" w:styleId="PanTbe2">
    <w:name w:val="P*a*n*T*b*e*2"/>
    <w:uiPriority w:val="99"/>
    <w:pPr>
      <w:widowControl w:val="0"/>
      <w:autoSpaceDE w:val="0"/>
      <w:autoSpaceDN w:val="0"/>
      <w:adjustRightInd w:val="0"/>
      <w:spacing w:after="0" w:line="240" w:lineRule="auto"/>
    </w:pPr>
    <w:rPr>
      <w:lang w:val="es-AR" w:eastAsia="es-AR"/>
    </w:rPr>
    <w:tblPr>
      <w:tblInd w:w="0" w:type="dxa"/>
      <w:tblCellMar>
        <w:top w:w="0" w:type="dxa"/>
        <w:left w:w="108" w:type="dxa"/>
        <w:bottom w:w="0" w:type="dxa"/>
        <w:right w:w="108" w:type="dxa"/>
      </w:tblCellMar>
    </w:tblPr>
  </w:style>
  <w:style w:type="table" w:customStyle="1" w:styleId="PanTbe3">
    <w:name w:val="P*a*n*T*b*e*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PanTbe4">
    <w:name w:val="P*a*n*T*b*e*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PanTbe5">
    <w:name w:val="P*a*n*T*b*e*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
    <w:name w:val="G*i* *a*l* * *i*h*"/>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1">
    <w:name w:val="G*i* *a*l* * *i*h*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2">
    <w:name w:val="G*i* *a*l* * *i*h*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3">
    <w:name w:val="G*i* *a*l* * *i*h*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4">
    <w:name w:val="G*i* *a*l* * *i*h*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5">
    <w:name w:val="G*i* *a*l* * *i*h*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ihcet6">
    <w:name w:val="G*i* *a*l* * *i*h*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
    <w:name w:val="G*i* *a*l* *"/>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1">
    <w:name w:val="G*i* *a*l* *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2">
    <w:name w:val="G*i* *a*l* *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3">
    <w:name w:val="G*i* *a*l* *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4">
    <w:name w:val="G*i* *a*l* *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5">
    <w:name w:val="G*i* *a*l* *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6">
    <w:name w:val="G*i* *a*l* *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2">
    <w:name w:val="G*i* *a*l* *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12">
    <w:name w:val="G*i* *a*l* *  *c*e*t*1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22">
    <w:name w:val="G*i* *a*l* *  *c*e*t*2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32">
    <w:name w:val="G*i* *a*l* *  *c*e*t*3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42">
    <w:name w:val="G*i* *a*l* *  *c*e*t*4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52">
    <w:name w:val="G*i* *a*l* *  *c*e*t*5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62">
    <w:name w:val="G*i* *a*l* *  *c*e*t*6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1">
    <w:name w:val="G*i* *a*l* *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11">
    <w:name w:val="G*i* *a*l* *  *c*e*t*1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21">
    <w:name w:val="G*i* *a*l* *  *c*e*t*2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31">
    <w:name w:val="G*i* *a*l* *  *c*e*t*3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41">
    <w:name w:val="G*i* *a*l* *  *c*e*t*4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51">
    <w:name w:val="G*i* *a*l* *  *c*e*t*5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cet61">
    <w:name w:val="G*i* *a*l* *  *c*e*t*6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
    <w:name w:val="G*i* *a*l* * *a*k"/>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1">
    <w:name w:val="G*i* *a*l* * *a*k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2">
    <w:name w:val="G*i* *a*l* * *a*k*-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3">
    <w:name w:val="G*i* *a*l* * *a*k*-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4">
    <w:name w:val="G*i* *a*l* * *a*k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5">
    <w:name w:val="G*i* *a*l* * *a*k*-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ak-cet6">
    <w:name w:val="G*i* *a*l* * *a*k*-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
    <w:name w:val="G*i* *a*l* * *o*o*f*l"/>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1">
    <w:name w:val="G*i* *a*l* * *o*o*f*l*-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2">
    <w:name w:val="G*i* *a*l* * *o*o*f*l*-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3">
    <w:name w:val="G*i* *a*l* * *o*o*f*l*-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4">
    <w:name w:val="G*i* *a*l* * *o*o*f*l*-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5">
    <w:name w:val="G*i* *a*l* * *o*o*f*l*-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6">
    <w:name w:val="G*i* *a*l* * *o*o*f*l*-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1">
    <w:name w:val="G*i* *a*l* * *o*o*f*l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11">
    <w:name w:val="G*i* *a*l* * *o*o*f*l*- *c*e*t*1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21">
    <w:name w:val="G*i* *a*l* * *o*o*f*l*- *c*e*t*2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31">
    <w:name w:val="G*i* *a*l* * *o*o*f*l*- *c*e*t*3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41">
    <w:name w:val="G*i* *a*l* * *o*o*f*l*- *c*e*t*4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51">
    <w:name w:val="G*i* *a*l* * *o*o*f*l*- *c*e*t*5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Gialoofl-cet61">
    <w:name w:val="G*i* *a*l* * *o*o*f*l*- *c*e*t*6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
    <w:name w:val="L*s* *a*l* * *i*h*"/>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1">
    <w:name w:val="L*s* *a*l* * *i*h*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2">
    <w:name w:val="L*s* *a*l* * *i*h*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3">
    <w:name w:val="L*s* *a*l* * *i*h*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4">
    <w:name w:val="L*s* *a*l* * *i*h*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5">
    <w:name w:val="L*s* *a*l* * *i*h*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ihcet6">
    <w:name w:val="L*s* *a*l* * *i*h*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
    <w:name w:val="L*s* *a*l* *"/>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1">
    <w:name w:val="L*s* *a*l* *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2">
    <w:name w:val="L*s* *a*l* *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3">
    <w:name w:val="L*s* *a*l* *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4">
    <w:name w:val="L*s* *a*l* *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5">
    <w:name w:val="L*s* *a*l* *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6">
    <w:name w:val="L*s* *a*l* *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2">
    <w:name w:val="L*s* *a*l* *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12">
    <w:name w:val="L*s* *a*l* *  *c*e*t*1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22">
    <w:name w:val="L*s* *a*l* *  *c*e*t*2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32">
    <w:name w:val="L*s* *a*l* *  *c*e*t*3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42">
    <w:name w:val="L*s* *a*l* *  *c*e*t*4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52">
    <w:name w:val="L*s* *a*l* *  *c*e*t*5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62">
    <w:name w:val="L*s* *a*l* *  *c*e*t*6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1">
    <w:name w:val="L*s* *a*l* *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11">
    <w:name w:val="L*s* *a*l* *  *c*e*t*1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21">
    <w:name w:val="L*s* *a*l* *  *c*e*t*2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31">
    <w:name w:val="L*s* *a*l* *  *c*e*t*3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41">
    <w:name w:val="L*s* *a*l* *  *c*e*t*4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51">
    <w:name w:val="L*s* *a*l* *  *c*e*t*5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cet61">
    <w:name w:val="L*s* *a*l* *  *c*e*t*6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
    <w:name w:val="L*s* *a*l* * *a*k"/>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1">
    <w:name w:val="L*s* *a*l* * *a*k*-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2">
    <w:name w:val="L*s* *a*l* * *a*k*-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3">
    <w:name w:val="L*s* *a*l* * *a*k*-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4">
    <w:name w:val="L*s* *a*l* * *a*k*-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5">
    <w:name w:val="L*s* *a*l* * *a*k*-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ak-cet6">
    <w:name w:val="L*s* *a*l* * *a*k*-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
    <w:name w:val="L*s* *a*l* * *o*o*f*l"/>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1">
    <w:name w:val="L*s* *a*l* * *o*o*f*l*-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2">
    <w:name w:val="L*s* *a*l* * *o*o*f*l*-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3">
    <w:name w:val="L*s* *a*l* * *o*o*f*l*-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4">
    <w:name w:val="L*s* *a*l* * *o*o*f*l*-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5">
    <w:name w:val="L*s* *a*l* * *o*o*f*l*-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6">
    <w:name w:val="L*s* *a*l* * *o*o*f*l*-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1">
    <w:name w:val="L*s* *a*l* * *o*o*f*l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11">
    <w:name w:val="L*s* *a*l* * *o*o*f*l*- *c*e*t*1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21">
    <w:name w:val="L*s* *a*l* * *o*o*f*l*- *c*e*t*2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31">
    <w:name w:val="L*s* *a*l* * *o*o*f*l*- *c*e*t*3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41">
    <w:name w:val="L*s* *a*l* * *o*o*f*l*- *c*e*t*4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51">
    <w:name w:val="L*s* *a*l* * *o*o*f*l*- *c*e*t*5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saloofl-cet61">
    <w:name w:val="L*s* *a*l* * *o*o*f*l*- *c*e*t*6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Lnd-cet">
    <w:name w:val="L*n*d*- *c*e*t"/>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1">
    <w:name w:val="L*n*d*- *c*e*t*1"/>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2">
    <w:name w:val="L*n*d*- *c*e*t*2"/>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3">
    <w:name w:val="L*n*d*- *c*e*t*3"/>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4">
    <w:name w:val="L*n*d*- *c*e*t*4"/>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5">
    <w:name w:val="L*n*d*- *c*e*t*5"/>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Lnd-cet6">
    <w:name w:val="L*n*d*- *c*e*t*6"/>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
    <w:name w:val="B*r*e*e* * *i*e*  *c*e*t"/>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1">
    <w:name w:val="B*r*e*e* * *i*e*  *c*e*t*1"/>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2">
    <w:name w:val="B*r*e*e* * *i*e*  *c*e*t*2"/>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3">
    <w:name w:val="B*r*e*e* * *i*e*  *c*e*t*3"/>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4">
    <w:name w:val="B*r*e*e* * *i*e*  *c*e*t*4"/>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5">
    <w:name w:val="B*r*e*e* * *i*e*  *c*e*t*5"/>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iecet6">
    <w:name w:val="B*r*e*e* * *i*e*  *c*e*t*6"/>
    <w:uiPriority w:val="99"/>
    <w:pPr>
      <w:widowControl w:val="0"/>
      <w:autoSpaceDE w:val="0"/>
      <w:autoSpaceDN w:val="0"/>
      <w:adjustRightInd w:val="0"/>
      <w:spacing w:after="0" w:line="240" w:lineRule="auto"/>
    </w:pPr>
    <w:rPr>
      <w:color w:val="404040"/>
      <w:lang w:val="es-AR" w:eastAsia="es-AR"/>
    </w:rPr>
    <w:tblPr>
      <w:tblStyleRowBandSize w:val="1"/>
      <w:tblStyleColBandSize w:val="1"/>
      <w:tblInd w:w="0" w:type="dxa"/>
      <w:tblCellMar>
        <w:top w:w="0" w:type="dxa"/>
        <w:left w:w="0" w:type="dxa"/>
        <w:bottom w:w="0" w:type="dxa"/>
        <w:right w:w="0" w:type="dxa"/>
      </w:tblCellMar>
    </w:tblPr>
  </w:style>
  <w:style w:type="table" w:customStyle="1" w:styleId="Bree">
    <w:name w:val="B*r*e*e*"/>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1">
    <w:name w:val="B*r*e*e*  *c*e*t*1"/>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2">
    <w:name w:val="B*r*e*e*  *c*e*t*2"/>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3">
    <w:name w:val="B*r*e*e*  *c*e*t*3"/>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4">
    <w:name w:val="B*r*e*e*  *c*e*t*4"/>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5">
    <w:name w:val="B*r*e*e*  *c*e*t*5"/>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table" w:customStyle="1" w:styleId="Breecet6">
    <w:name w:val="B*r*e*e*  *c*e*t*6"/>
    <w:uiPriority w:val="99"/>
    <w:pPr>
      <w:widowControl w:val="0"/>
      <w:autoSpaceDE w:val="0"/>
      <w:autoSpaceDN w:val="0"/>
      <w:adjustRightInd w:val="0"/>
      <w:spacing w:after="0" w:line="240" w:lineRule="auto"/>
    </w:pPr>
    <w:rPr>
      <w:lang w:val="es-AR" w:eastAsia="es-AR"/>
    </w:rPr>
    <w:tblPr>
      <w:tblStyleRowBandSize w:val="1"/>
      <w:tblStyleColBandSize w:val="1"/>
      <w:tblInd w:w="0" w:type="dxa"/>
      <w:tblCellMar>
        <w:top w:w="0" w:type="dxa"/>
        <w:left w:w="0" w:type="dxa"/>
        <w:bottom w:w="0" w:type="dxa"/>
        <w:right w:w="0" w:type="dxa"/>
      </w:tblCellMar>
    </w:tblPr>
  </w:style>
  <w:style w:type="character" w:customStyle="1" w:styleId="Hprik">
    <w:name w:val="H*p*r*i*k"/>
    <w:uiPriority w:val="99"/>
    <w:unhideWhenUsed/>
    <w:rPr>
      <w:color w:val="0000FF"/>
      <w:u w:val="single"/>
      <w:lang w:val="es-AR"/>
    </w:rPr>
  </w:style>
  <w:style w:type="paragraph" w:customStyle="1" w:styleId="fontet">
    <w:name w:val="f*o*n*t* *e*t"/>
    <w:basedOn w:val="Nra"/>
    <w:link w:val="FontetCa"/>
    <w:uiPriority w:val="99"/>
    <w:semiHidden/>
    <w:unhideWhenUsed/>
    <w:pPr>
      <w:spacing w:after="40" w:line="240" w:lineRule="auto"/>
      <w:jc w:val="left"/>
    </w:pPr>
    <w:rPr>
      <w:rFonts w:ascii="Times New Roman" w:hAnsi="Times New Roman" w:cs="Times New Roman"/>
      <w:color w:val="auto"/>
      <w:sz w:val="18"/>
      <w:szCs w:val="18"/>
    </w:rPr>
  </w:style>
  <w:style w:type="character" w:customStyle="1" w:styleId="FontetCa">
    <w:name w:val="F*o*n*t* *e*t*C*a*"/>
    <w:link w:val="fontet"/>
    <w:uiPriority w:val="99"/>
    <w:rPr>
      <w:sz w:val="18"/>
      <w:lang w:val="es-AR"/>
    </w:rPr>
  </w:style>
  <w:style w:type="character" w:customStyle="1" w:styleId="fonteeec">
    <w:name w:val="f*o*n*t* *e*e*e*c*"/>
    <w:uiPriority w:val="99"/>
    <w:unhideWhenUsed/>
    <w:rPr>
      <w:vertAlign w:val="superscript"/>
      <w:lang w:val="es-AR"/>
    </w:rPr>
  </w:style>
  <w:style w:type="paragraph" w:customStyle="1" w:styleId="edoetx">
    <w:name w:val="e*d*o*e*t*x*"/>
    <w:basedOn w:val="Nra"/>
    <w:link w:val="EdoeTxhr"/>
    <w:uiPriority w:val="99"/>
    <w:semiHidden/>
    <w:unhideWhenUsed/>
    <w:pPr>
      <w:spacing w:line="240" w:lineRule="auto"/>
      <w:jc w:val="left"/>
    </w:pPr>
    <w:rPr>
      <w:rFonts w:ascii="Times New Roman" w:hAnsi="Times New Roman" w:cs="Times New Roman"/>
      <w:color w:val="auto"/>
      <w:sz w:val="20"/>
      <w:szCs w:val="20"/>
    </w:rPr>
  </w:style>
  <w:style w:type="character" w:customStyle="1" w:styleId="EdoeTxhr">
    <w:name w:val="E*d*o*e*T*x* *h*r"/>
    <w:link w:val="edoetx"/>
    <w:uiPriority w:val="99"/>
    <w:rPr>
      <w:sz w:val="20"/>
      <w:lang w:val="es-AR"/>
    </w:rPr>
  </w:style>
  <w:style w:type="character" w:customStyle="1" w:styleId="edoerfrne">
    <w:name w:val="e*d*o*e*r*f*r*n*e"/>
    <w:uiPriority w:val="99"/>
    <w:semiHidden/>
    <w:unhideWhenUsed/>
    <w:rPr>
      <w:vertAlign w:val="superscript"/>
      <w:lang w:val="es-AR"/>
    </w:rPr>
  </w:style>
  <w:style w:type="paragraph" w:customStyle="1" w:styleId="tc1">
    <w:name w:val="t*c*1"/>
    <w:basedOn w:val="Nra"/>
    <w:next w:val="Nra"/>
    <w:uiPriority w:val="99"/>
    <w:unhideWhenUsed/>
    <w:pPr>
      <w:spacing w:after="57" w:line="240" w:lineRule="auto"/>
      <w:jc w:val="left"/>
    </w:pPr>
    <w:rPr>
      <w:rFonts w:ascii="Times New Roman" w:hAnsi="Times New Roman" w:cs="Times New Roman"/>
      <w:color w:val="auto"/>
      <w:sz w:val="24"/>
      <w:szCs w:val="24"/>
    </w:rPr>
  </w:style>
  <w:style w:type="paragraph" w:customStyle="1" w:styleId="tc2">
    <w:name w:val="t*c*2"/>
    <w:basedOn w:val="Nra"/>
    <w:next w:val="Nra"/>
    <w:uiPriority w:val="99"/>
    <w:unhideWhenUsed/>
    <w:pPr>
      <w:spacing w:after="57" w:line="240" w:lineRule="auto"/>
      <w:ind w:left="283"/>
      <w:jc w:val="left"/>
    </w:pPr>
    <w:rPr>
      <w:rFonts w:ascii="Times New Roman" w:hAnsi="Times New Roman" w:cs="Times New Roman"/>
      <w:color w:val="auto"/>
      <w:sz w:val="24"/>
      <w:szCs w:val="24"/>
    </w:rPr>
  </w:style>
  <w:style w:type="paragraph" w:customStyle="1" w:styleId="tc3">
    <w:name w:val="t*c*3"/>
    <w:basedOn w:val="Nra"/>
    <w:next w:val="Nra"/>
    <w:uiPriority w:val="99"/>
    <w:unhideWhenUsed/>
    <w:pPr>
      <w:spacing w:after="57" w:line="240" w:lineRule="auto"/>
      <w:ind w:left="567"/>
      <w:jc w:val="left"/>
    </w:pPr>
    <w:rPr>
      <w:rFonts w:ascii="Times New Roman" w:hAnsi="Times New Roman" w:cs="Times New Roman"/>
      <w:color w:val="auto"/>
      <w:sz w:val="24"/>
      <w:szCs w:val="24"/>
    </w:rPr>
  </w:style>
  <w:style w:type="paragraph" w:customStyle="1" w:styleId="tc4">
    <w:name w:val="t*c*4"/>
    <w:basedOn w:val="Nra"/>
    <w:next w:val="Nra"/>
    <w:uiPriority w:val="99"/>
    <w:unhideWhenUsed/>
    <w:pPr>
      <w:spacing w:after="57" w:line="240" w:lineRule="auto"/>
      <w:ind w:left="850"/>
      <w:jc w:val="left"/>
    </w:pPr>
    <w:rPr>
      <w:rFonts w:ascii="Times New Roman" w:hAnsi="Times New Roman" w:cs="Times New Roman"/>
      <w:color w:val="auto"/>
      <w:sz w:val="24"/>
      <w:szCs w:val="24"/>
    </w:rPr>
  </w:style>
  <w:style w:type="paragraph" w:customStyle="1" w:styleId="tc5">
    <w:name w:val="t*c*5"/>
    <w:basedOn w:val="Nra"/>
    <w:next w:val="Nra"/>
    <w:uiPriority w:val="99"/>
    <w:unhideWhenUsed/>
    <w:pPr>
      <w:spacing w:after="57" w:line="240" w:lineRule="auto"/>
      <w:ind w:left="1134"/>
      <w:jc w:val="left"/>
    </w:pPr>
    <w:rPr>
      <w:rFonts w:ascii="Times New Roman" w:hAnsi="Times New Roman" w:cs="Times New Roman"/>
      <w:color w:val="auto"/>
      <w:sz w:val="24"/>
      <w:szCs w:val="24"/>
    </w:rPr>
  </w:style>
  <w:style w:type="paragraph" w:customStyle="1" w:styleId="tc6">
    <w:name w:val="t*c*6"/>
    <w:basedOn w:val="Nra"/>
    <w:next w:val="Nra"/>
    <w:uiPriority w:val="99"/>
    <w:unhideWhenUsed/>
    <w:pPr>
      <w:spacing w:after="57" w:line="240" w:lineRule="auto"/>
      <w:ind w:left="1417"/>
      <w:jc w:val="left"/>
    </w:pPr>
    <w:rPr>
      <w:rFonts w:ascii="Times New Roman" w:hAnsi="Times New Roman" w:cs="Times New Roman"/>
      <w:color w:val="auto"/>
      <w:sz w:val="24"/>
      <w:szCs w:val="24"/>
    </w:rPr>
  </w:style>
  <w:style w:type="paragraph" w:customStyle="1" w:styleId="tc7">
    <w:name w:val="t*c*7"/>
    <w:basedOn w:val="Nra"/>
    <w:next w:val="Nra"/>
    <w:uiPriority w:val="99"/>
    <w:unhideWhenUsed/>
    <w:pPr>
      <w:spacing w:after="57" w:line="240" w:lineRule="auto"/>
      <w:ind w:left="1701"/>
      <w:jc w:val="left"/>
    </w:pPr>
    <w:rPr>
      <w:rFonts w:ascii="Times New Roman" w:hAnsi="Times New Roman" w:cs="Times New Roman"/>
      <w:color w:val="auto"/>
      <w:sz w:val="24"/>
      <w:szCs w:val="24"/>
    </w:rPr>
  </w:style>
  <w:style w:type="paragraph" w:customStyle="1" w:styleId="tc8">
    <w:name w:val="t*c*8"/>
    <w:basedOn w:val="Nra"/>
    <w:next w:val="Nra"/>
    <w:uiPriority w:val="99"/>
    <w:unhideWhenUsed/>
    <w:pPr>
      <w:spacing w:after="57" w:line="240" w:lineRule="auto"/>
      <w:ind w:left="1984"/>
      <w:jc w:val="left"/>
    </w:pPr>
    <w:rPr>
      <w:rFonts w:ascii="Times New Roman" w:hAnsi="Times New Roman" w:cs="Times New Roman"/>
      <w:color w:val="auto"/>
      <w:sz w:val="24"/>
      <w:szCs w:val="24"/>
    </w:rPr>
  </w:style>
  <w:style w:type="paragraph" w:customStyle="1" w:styleId="tc9">
    <w:name w:val="t*c*9"/>
    <w:basedOn w:val="Nra"/>
    <w:next w:val="Nra"/>
    <w:uiPriority w:val="99"/>
    <w:unhideWhenUsed/>
    <w:pPr>
      <w:spacing w:after="57" w:line="240" w:lineRule="auto"/>
      <w:ind w:left="2268"/>
      <w:jc w:val="left"/>
    </w:pPr>
    <w:rPr>
      <w:rFonts w:ascii="Times New Roman" w:hAnsi="Times New Roman" w:cs="Times New Roman"/>
      <w:color w:val="auto"/>
      <w:sz w:val="24"/>
      <w:szCs w:val="24"/>
    </w:rPr>
  </w:style>
  <w:style w:type="paragraph" w:customStyle="1" w:styleId="TCHaig">
    <w:name w:val="T*C*H*a*i*g"/>
    <w:uiPriority w:val="99"/>
    <w:unhideWhenUsed/>
    <w:pPr>
      <w:widowControl w:val="0"/>
      <w:autoSpaceDE w:val="0"/>
      <w:autoSpaceDN w:val="0"/>
      <w:adjustRightInd w:val="0"/>
      <w:spacing w:after="0" w:line="240" w:lineRule="auto"/>
    </w:pPr>
    <w:rPr>
      <w:lang w:val="es-AR" w:eastAsia="es-AR"/>
    </w:rPr>
  </w:style>
  <w:style w:type="paragraph" w:customStyle="1" w:styleId="tbeoiue">
    <w:name w:val="t*b*e*o* *i*u*e*"/>
    <w:basedOn w:val="Nra"/>
    <w:next w:val="Nra"/>
    <w:uiPriority w:val="99"/>
    <w:unhideWhenUsed/>
    <w:pPr>
      <w:spacing w:line="240" w:lineRule="auto"/>
      <w:jc w:val="left"/>
    </w:pPr>
    <w:rPr>
      <w:rFonts w:ascii="Times New Roman" w:hAnsi="Times New Roman" w:cs="Times New Roman"/>
      <w:color w:val="auto"/>
      <w:sz w:val="24"/>
      <w:szCs w:val="24"/>
    </w:rPr>
  </w:style>
  <w:style w:type="paragraph" w:customStyle="1" w:styleId="Nra">
    <w:name w:val="N*r*a*"/>
    <w:uiPriority w:val="99"/>
    <w:pPr>
      <w:widowControl w:val="0"/>
      <w:autoSpaceDE w:val="0"/>
      <w:autoSpaceDN w:val="0"/>
      <w:adjustRightInd w:val="0"/>
      <w:spacing w:after="0" w:line="312" w:lineRule="auto"/>
      <w:jc w:val="both"/>
    </w:pPr>
    <w:rPr>
      <w:rFonts w:ascii="P*l*t*n* *i*o*y*e" w:hAnsi="P*l*t*n* *i*o*y*e" w:cs="P*l*t*n* *i*o*y*e"/>
      <w:color w:val="000000"/>
      <w:sz w:val="26"/>
      <w:szCs w:val="26"/>
      <w:lang w:val="es-AR" w:eastAsia="es-AR"/>
    </w:rPr>
  </w:style>
  <w:style w:type="paragraph" w:customStyle="1" w:styleId="Haig1">
    <w:name w:val="H*a*i*g*1"/>
    <w:basedOn w:val="Tte"/>
    <w:link w:val="Haig1Ca"/>
    <w:uiPriority w:val="99"/>
    <w:pPr>
      <w:outlineLvl w:val="0"/>
    </w:pPr>
    <w:rPr>
      <w:b/>
      <w:bCs/>
      <w:sz w:val="32"/>
      <w:szCs w:val="32"/>
    </w:rPr>
  </w:style>
  <w:style w:type="paragraph" w:customStyle="1" w:styleId="Haig">
    <w:name w:val="H*a*i*g"/>
    <w:basedOn w:val="Nra"/>
    <w:uiPriority w:val="99"/>
    <w:pPr>
      <w:keepNext/>
      <w:spacing w:before="240" w:after="120"/>
    </w:pPr>
    <w:rPr>
      <w:rFonts w:ascii="A*i*l" w:hAnsi="A*i*l" w:cs="A*i*l"/>
      <w:color w:val="auto"/>
      <w:sz w:val="28"/>
      <w:szCs w:val="28"/>
    </w:rPr>
  </w:style>
  <w:style w:type="paragraph" w:customStyle="1" w:styleId="Txoy">
    <w:name w:val="T*x* *o*y"/>
    <w:basedOn w:val="Nra"/>
    <w:uiPriority w:val="99"/>
    <w:pPr>
      <w:spacing w:after="120"/>
    </w:pPr>
    <w:rPr>
      <w:color w:val="auto"/>
    </w:rPr>
  </w:style>
  <w:style w:type="paragraph" w:customStyle="1" w:styleId="Tte">
    <w:name w:val="T*t*e"/>
    <w:basedOn w:val="Nra"/>
    <w:link w:val="TteCa"/>
    <w:uiPriority w:val="99"/>
    <w:pPr>
      <w:keepNext/>
      <w:spacing w:before="240" w:after="120"/>
    </w:pPr>
    <w:rPr>
      <w:rFonts w:ascii="A*i*l" w:hAnsi="A*i*l" w:cs="A*i*l"/>
      <w:color w:val="auto"/>
      <w:sz w:val="28"/>
      <w:szCs w:val="28"/>
    </w:rPr>
  </w:style>
  <w:style w:type="paragraph" w:customStyle="1" w:styleId="Sbil">
    <w:name w:val="S*b*i*l*"/>
    <w:basedOn w:val="Tte"/>
    <w:link w:val="Sbilhr"/>
    <w:uiPriority w:val="99"/>
    <w:pPr>
      <w:jc w:val="center"/>
    </w:pPr>
    <w:rPr>
      <w:i/>
      <w:iCs/>
    </w:rPr>
  </w:style>
  <w:style w:type="paragraph" w:customStyle="1" w:styleId="Ls">
    <w:name w:val="L*s*"/>
    <w:basedOn w:val="Txoy"/>
    <w:uiPriority w:val="99"/>
  </w:style>
  <w:style w:type="paragraph" w:customStyle="1" w:styleId="Cpin">
    <w:name w:val="C*p*i*n"/>
    <w:basedOn w:val="Nra"/>
    <w:uiPriority w:val="99"/>
    <w:pPr>
      <w:spacing w:before="120" w:after="120"/>
    </w:pPr>
    <w:rPr>
      <w:i/>
      <w:iCs/>
      <w:color w:val="auto"/>
      <w:sz w:val="24"/>
      <w:szCs w:val="24"/>
    </w:rPr>
  </w:style>
  <w:style w:type="paragraph" w:customStyle="1" w:styleId="Idx">
    <w:name w:val="I*d*x"/>
    <w:basedOn w:val="Nra"/>
    <w:uiPriority w:val="99"/>
    <w:rPr>
      <w:color w:val="auto"/>
    </w:rPr>
  </w:style>
  <w:style w:type="paragraph" w:customStyle="1" w:styleId="TbeCnet">
    <w:name w:val="T*b*e*C*n*e*t*"/>
    <w:basedOn w:val="Nra"/>
    <w:uiPriority w:val="99"/>
    <w:rPr>
      <w:color w:val="auto"/>
    </w:rPr>
  </w:style>
  <w:style w:type="paragraph" w:customStyle="1" w:styleId="Cbclo">
    <w:name w:val="C*b*c*l*o"/>
    <w:basedOn w:val="TbeCnet"/>
    <w:uiPriority w:val="99"/>
    <w:pPr>
      <w:spacing w:line="100" w:lineRule="atLeast"/>
      <w:ind w:firstLine="6"/>
    </w:pPr>
    <w:rPr>
      <w:smallCaps/>
    </w:rPr>
  </w:style>
  <w:style w:type="paragraph" w:customStyle="1" w:styleId="Cbcloert">
    <w:name w:val="C*b*c*l*o*e*r*t*"/>
    <w:basedOn w:val="Cbclo"/>
    <w:uiPriority w:val="99"/>
    <w:rPr>
      <w:b/>
      <w:bCs/>
    </w:rPr>
  </w:style>
  <w:style w:type="paragraph" w:customStyle="1" w:styleId="Cbcloecia">
    <w:name w:val="C*b*c*l*o*e*c*i*a*"/>
    <w:basedOn w:val="Cbcloert"/>
    <w:uiPriority w:val="99"/>
    <w:pPr>
      <w:jc w:val="left"/>
    </w:pPr>
  </w:style>
  <w:style w:type="paragraph" w:customStyle="1" w:styleId="TbeHaig">
    <w:name w:val="T*b*e*H*a*i*g"/>
    <w:basedOn w:val="TbeCnet"/>
    <w:uiPriority w:val="99"/>
    <w:pPr>
      <w:jc w:val="center"/>
    </w:pPr>
    <w:rPr>
      <w:b/>
      <w:bCs/>
    </w:rPr>
  </w:style>
  <w:style w:type="paragraph" w:customStyle="1" w:styleId="SFPd">
    <w:name w:val="S*FP*d*ã*"/>
    <w:basedOn w:val="Nra"/>
    <w:uiPriority w:val="99"/>
    <w:pPr>
      <w:tabs>
        <w:tab w:val="left" w:pos="1701"/>
      </w:tabs>
      <w:spacing w:line="264" w:lineRule="auto"/>
      <w:ind w:firstLine="567"/>
    </w:pPr>
    <w:rPr>
      <w:color w:val="auto"/>
    </w:rPr>
  </w:style>
  <w:style w:type="paragraph" w:customStyle="1" w:styleId="SFCto">
    <w:name w:val="S*FC*t*ç*o*"/>
    <w:basedOn w:val="Nra"/>
    <w:uiPriority w:val="99"/>
    <w:pPr>
      <w:spacing w:line="264" w:lineRule="auto"/>
      <w:ind w:left="1701" w:firstLine="567"/>
    </w:pPr>
    <w:rPr>
      <w:color w:val="auto"/>
      <w:sz w:val="24"/>
      <w:szCs w:val="24"/>
    </w:rPr>
  </w:style>
  <w:style w:type="paragraph" w:customStyle="1" w:styleId="SFCto4">
    <w:name w:val="S*FC*t*ç*o*4"/>
    <w:basedOn w:val="Nra"/>
    <w:uiPriority w:val="99"/>
    <w:pPr>
      <w:spacing w:line="264" w:lineRule="auto"/>
      <w:ind w:left="2268" w:firstLine="567"/>
    </w:pPr>
    <w:rPr>
      <w:color w:val="auto"/>
      <w:sz w:val="24"/>
      <w:szCs w:val="24"/>
    </w:rPr>
  </w:style>
  <w:style w:type="paragraph" w:customStyle="1" w:styleId="SFCto3">
    <w:name w:val="S*FC*t*ç*o*3"/>
    <w:basedOn w:val="Nra"/>
    <w:uiPriority w:val="99"/>
    <w:pPr>
      <w:spacing w:line="264" w:lineRule="auto"/>
      <w:ind w:left="2835" w:firstLine="567"/>
    </w:pPr>
    <w:rPr>
      <w:color w:val="auto"/>
      <w:sz w:val="24"/>
      <w:szCs w:val="24"/>
    </w:rPr>
  </w:style>
  <w:style w:type="paragraph" w:customStyle="1" w:styleId="SFCto2">
    <w:name w:val="S*FC*t*ç*o*2"/>
    <w:basedOn w:val="Nra"/>
    <w:uiPriority w:val="99"/>
    <w:pPr>
      <w:spacing w:line="264" w:lineRule="auto"/>
      <w:ind w:left="3402" w:firstLine="567"/>
    </w:pPr>
    <w:rPr>
      <w:color w:val="auto"/>
      <w:sz w:val="24"/>
      <w:szCs w:val="24"/>
    </w:rPr>
  </w:style>
  <w:style w:type="paragraph" w:customStyle="1" w:styleId="SFCto1">
    <w:name w:val="S*FC*t*ç*o*1"/>
    <w:basedOn w:val="Nra"/>
    <w:uiPriority w:val="99"/>
    <w:pPr>
      <w:spacing w:line="264" w:lineRule="auto"/>
      <w:ind w:left="3969" w:firstLine="567"/>
    </w:pPr>
    <w:rPr>
      <w:color w:val="auto"/>
      <w:sz w:val="24"/>
      <w:szCs w:val="24"/>
    </w:rPr>
  </w:style>
  <w:style w:type="paragraph" w:customStyle="1" w:styleId="SFPdCnrlzd">
    <w:name w:val="S*FP*d*ã*C*n*r*l*z*d*"/>
    <w:basedOn w:val="Nra"/>
    <w:uiPriority w:val="99"/>
    <w:pPr>
      <w:spacing w:line="264" w:lineRule="auto"/>
      <w:jc w:val="center"/>
    </w:pPr>
    <w:rPr>
      <w:color w:val="auto"/>
    </w:rPr>
  </w:style>
  <w:style w:type="paragraph" w:customStyle="1" w:styleId="SFEetMncia">
    <w:name w:val="S*FE*e*t*M*n*c*á*i*a"/>
    <w:basedOn w:val="Nra"/>
    <w:uiPriority w:val="99"/>
    <w:pPr>
      <w:spacing w:line="264" w:lineRule="auto"/>
      <w:ind w:left="3402"/>
    </w:pPr>
    <w:rPr>
      <w:color w:val="auto"/>
    </w:rPr>
  </w:style>
  <w:style w:type="paragraph" w:customStyle="1" w:styleId="SFAsndDgtlet">
    <w:name w:val="S*FA*s*n*d*D*g*t*l*e*t*"/>
    <w:basedOn w:val="Nra"/>
    <w:uiPriority w:val="99"/>
    <w:pPr>
      <w:spacing w:line="264" w:lineRule="auto"/>
      <w:jc w:val="center"/>
    </w:pPr>
    <w:rPr>
      <w:i/>
      <w:iCs/>
      <w:color w:val="auto"/>
      <w:sz w:val="24"/>
      <w:szCs w:val="24"/>
    </w:rPr>
  </w:style>
  <w:style w:type="paragraph" w:customStyle="1" w:styleId="Sne">
    <w:name w:val="S*n*e*"/>
    <w:basedOn w:val="Nra"/>
    <w:uiPriority w:val="99"/>
    <w:pPr>
      <w:spacing w:after="60"/>
    </w:pPr>
    <w:rPr>
      <w:color w:val="auto"/>
    </w:rPr>
  </w:style>
  <w:style w:type="paragraph" w:customStyle="1" w:styleId="Hae">
    <w:name w:val="H*a*e*"/>
    <w:basedOn w:val="Nra"/>
    <w:link w:val="Haehr"/>
    <w:uiPriority w:val="99"/>
    <w:pPr>
      <w:tabs>
        <w:tab w:val="center" w:pos="4620"/>
        <w:tab w:val="right" w:pos="9241"/>
      </w:tabs>
    </w:pPr>
    <w:rPr>
      <w:color w:val="auto"/>
    </w:rPr>
  </w:style>
  <w:style w:type="paragraph" w:customStyle="1" w:styleId="Foe">
    <w:name w:val="F*o*e*"/>
    <w:basedOn w:val="Nra"/>
    <w:link w:val="CpinCa"/>
    <w:uiPriority w:val="99"/>
    <w:pPr>
      <w:tabs>
        <w:tab w:val="center" w:pos="4620"/>
        <w:tab w:val="right" w:pos="9241"/>
      </w:tabs>
    </w:pPr>
    <w:rPr>
      <w:color w:val="auto"/>
    </w:rPr>
  </w:style>
  <w:style w:type="character" w:customStyle="1" w:styleId="DfutPrgahFn">
    <w:name w:val="D*f*u*t*P*r*g*a*h*F*n*"/>
    <w:uiPriority w:val="99"/>
    <w:semiHidden/>
    <w:unhideWhenUsed/>
    <w:rPr>
      <w:lang w:val="es-AR"/>
    </w:rPr>
  </w:style>
  <w:style w:type="table" w:customStyle="1" w:styleId="Nraal">
    <w:name w:val="N*r*a* *a*l*"/>
    <w:uiPriority w:val="99"/>
    <w:semiHidden/>
    <w:unhideWhenUsed/>
    <w:pPr>
      <w:widowControl w:val="0"/>
      <w:autoSpaceDE w:val="0"/>
      <w:autoSpaceDN w:val="0"/>
      <w:adjustRightInd w:val="0"/>
      <w:spacing w:after="0" w:line="240" w:lineRule="auto"/>
    </w:pPr>
    <w:rPr>
      <w:lang w:val="es-AR" w:eastAsia="es-A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F4648CDB57944D94377B41288B66E4" ma:contentTypeVersion="14" ma:contentTypeDescription="Create a new document." ma:contentTypeScope="" ma:versionID="30a79b947926d44ef5bb36bceeb1aea5">
  <xsd:schema xmlns:xsd="http://www.w3.org/2001/XMLSchema" xmlns:xs="http://www.w3.org/2001/XMLSchema" xmlns:p="http://schemas.microsoft.com/office/2006/metadata/properties" xmlns:ns2="3144b37e-5c85-4a9f-889b-615eb16187de" xmlns:ns3="6652c5c8-06da-49d8-9279-6cb6c545cc53" targetNamespace="http://schemas.microsoft.com/office/2006/metadata/properties" ma:root="true" ma:fieldsID="0897fd23dadb9d634683afc4238d681e" ns2:_="" ns3:_="">
    <xsd:import namespace="3144b37e-5c85-4a9f-889b-615eb16187de"/>
    <xsd:import namespace="6652c5c8-06da-49d8-9279-6cb6c545cc5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Pipeline" minOccurs="0"/>
                <xsd:element ref="ns2:ConveniosenPipeline"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44b37e-5c85-4a9f-889b-615eb1618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Pipeline" ma:index="15" nillable="true" ma:displayName="Pipeline" ma:description="dsasdasdads" ma:format="Dropdown" ma:internalName="Pipeline">
      <xsd:simpleType>
        <xsd:restriction base="dms:Note">
          <xsd:maxLength value="255"/>
        </xsd:restriction>
      </xsd:simpleType>
    </xsd:element>
    <xsd:element name="ConveniosenPipeline" ma:index="16" nillable="true" ma:displayName="Convenios en Pipeline" ma:format="Dropdown" ma:internalName="ConveniosenPipeline">
      <xsd:simpleType>
        <xsd:restriction base="dms:Choice">
          <xsd:enumeration value="1980 Child Abduction"/>
          <xsd:enumeration value="1996 Protection of Children"/>
          <xsd:enumeration value="2007 Child Support"/>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52c5c8-06da-49d8-9279-6cb6c545cc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peline xmlns="3144b37e-5c85-4a9f-889b-615eb16187de" xsi:nil="true"/>
    <ConveniosenPipeline xmlns="3144b37e-5c85-4a9f-889b-615eb16187de" xsi:nil="true"/>
  </documentManagement>
</p:properties>
</file>

<file path=customXml/itemProps1.xml><?xml version="1.0" encoding="utf-8"?>
<ds:datastoreItem xmlns:ds="http://schemas.openxmlformats.org/officeDocument/2006/customXml" ds:itemID="{86CC6AC8-8896-4305-8BDE-5C2EF2CBA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44b37e-5c85-4a9f-889b-615eb16187de"/>
    <ds:schemaRef ds:uri="6652c5c8-06da-49d8-9279-6cb6c545cc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156B3F-EB9E-4DB3-917C-586D77D190E2}">
  <ds:schemaRefs>
    <ds:schemaRef ds:uri="http://schemas.microsoft.com/sharepoint/v3/contenttype/forms"/>
  </ds:schemaRefs>
</ds:datastoreItem>
</file>

<file path=customXml/itemProps3.xml><?xml version="1.0" encoding="utf-8"?>
<ds:datastoreItem xmlns:ds="http://schemas.openxmlformats.org/officeDocument/2006/customXml" ds:itemID="{D24FEFA4-4977-4C8C-B55C-890DAC4B1ACE}">
  <ds:schemaRefs>
    <ds:schemaRef ds:uri="http://schemas.microsoft.com/office/2006/metadata/properties"/>
    <ds:schemaRef ds:uri="http://schemas.microsoft.com/office/infopath/2007/PartnerControls"/>
    <ds:schemaRef ds:uri="3144b37e-5c85-4a9f-889b-615eb16187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24456</Words>
  <Characters>139403</Characters>
  <Application>Microsoft Office Word</Application>
  <DocSecurity>0</DocSecurity>
  <Lines>1161</Lines>
  <Paragraphs>327</Paragraphs>
  <ScaleCrop>false</ScaleCrop>
  <Company/>
  <LinksUpToDate>false</LinksUpToDate>
  <CharactersWithSpaces>163532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 4245 - Voto del Ministro Luís Roberto Barroso (traducción al español)</dc:title>
  <dc:subject>Traducción al español</dc:subject>
  <dc:creator>Ignacio Goicoechea</dc:creator>
  <cp:keywords/>
  <dc:description/>
  <cp:lastModifiedBy>Ignacio Goicoechea</cp:lastModifiedBy>
  <cp:revision>2</cp:revision>
  <dcterms:created xsi:type="dcterms:W3CDTF">2026-08-04T12:26:00Z</dcterms:created>
  <dcterms:modified xsi:type="dcterms:W3CDTF">2026-08-04T12:26:00Z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ONLYOFFICE/6.4.2.6</vt:lpwstr>
  </property>
  <property fmtid="{D5CDD505-2E9C-101B-9397-08002B2CF9AE}" pid="3" name="ContentTypeId">
    <vt:lpwstr>0x01010083F4648CDB57944D94377B41288B66E4</vt:lpwstr>
  </property>
</Properties>
</file>